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774FB" w14:textId="77777777" w:rsidR="00987E85" w:rsidRPr="00987E85" w:rsidRDefault="00987E85" w:rsidP="00987E85">
      <w:pPr>
        <w:spacing w:after="0" w:line="240" w:lineRule="auto"/>
        <w:jc w:val="center"/>
        <w:rPr>
          <w:rFonts w:ascii="TH SarabunPSK" w:eastAsia="Calibri" w:hAnsi="TH SarabunPSK" w:cs="TH SarabunPSK"/>
          <w:b/>
          <w:bCs/>
          <w:color w:val="FF0000"/>
          <w:sz w:val="32"/>
          <w:szCs w:val="32"/>
        </w:rPr>
      </w:pPr>
      <w:r w:rsidRPr="00987E85">
        <w:rPr>
          <w:rFonts w:ascii="TH SarabunPSK" w:eastAsia="Calibri" w:hAnsi="TH SarabunPSK" w:cs="TH SarabunPSK"/>
          <w:b/>
          <w:bCs/>
          <w:color w:val="FF0000"/>
          <w:sz w:val="32"/>
          <w:szCs w:val="32"/>
          <w:cs/>
        </w:rPr>
        <w:t>การพัฒนาระบบเลี้ยงปลาบนพื้นที่สูง อำเภอบ่อเกลือ จังหวัดน่าน</w:t>
      </w:r>
    </w:p>
    <w:p w14:paraId="47DFB3E6" w14:textId="77777777" w:rsidR="00987E85" w:rsidRPr="00987E85" w:rsidRDefault="00987E85" w:rsidP="00987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7E85">
        <w:rPr>
          <w:rFonts w:ascii="TH SarabunPSK" w:hAnsi="TH SarabunPSK" w:cs="TH SarabunPSK"/>
          <w:sz w:val="32"/>
          <w:szCs w:val="32"/>
          <w:cs/>
        </w:rPr>
        <w:t>อควาโปนิกส์ (</w:t>
      </w:r>
      <w:r w:rsidRPr="00987E85">
        <w:rPr>
          <w:rFonts w:ascii="TH SarabunPSK" w:hAnsi="TH SarabunPSK" w:cs="TH SarabunPSK"/>
          <w:sz w:val="32"/>
          <w:szCs w:val="32"/>
        </w:rPr>
        <w:t xml:space="preserve">Aquaponics) 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เป็นการรวมระบบเพาะเลี้ยงสัตว์น้ำแบบน้ำหมุนเวียน </w:t>
      </w:r>
      <w:r w:rsidRPr="00987E85">
        <w:rPr>
          <w:rFonts w:ascii="TH SarabunPSK" w:hAnsi="TH SarabunPSK" w:cs="TH SarabunPSK"/>
          <w:sz w:val="32"/>
          <w:szCs w:val="32"/>
        </w:rPr>
        <w:t xml:space="preserve">(Recirculating Aquaculture System, RAS) </w:t>
      </w:r>
      <w:r w:rsidRPr="00987E85">
        <w:rPr>
          <w:rFonts w:ascii="TH SarabunPSK" w:hAnsi="TH SarabunPSK" w:cs="TH SarabunPSK"/>
          <w:sz w:val="32"/>
          <w:szCs w:val="32"/>
          <w:cs/>
        </w:rPr>
        <w:t>และการปลูกพืชไร้ดิน (Hydroponic)</w:t>
      </w:r>
      <w:r w:rsidRPr="00987E85">
        <w:rPr>
          <w:rFonts w:ascii="TH SarabunPSK" w:hAnsi="TH SarabunPSK" w:cs="TH SarabunPSK"/>
          <w:sz w:val="32"/>
          <w:szCs w:val="32"/>
        </w:rPr>
        <w:t xml:space="preserve"> </w:t>
      </w:r>
      <w:r w:rsidRPr="00987E85">
        <w:rPr>
          <w:rFonts w:ascii="TH SarabunPSK" w:eastAsia="BrowalliaNew" w:hAnsi="TH SarabunPSK" w:cs="TH SarabunPSK"/>
          <w:sz w:val="32"/>
          <w:szCs w:val="32"/>
          <w:cs/>
        </w:rPr>
        <w:t>เข้าไว้ด้วยกัน โดยอาศัยหลักที่ว่า ธาตุอาหาร ที่เกิดขึ้นในน้ำเสียจาก</w:t>
      </w:r>
      <w:r w:rsidRPr="00987E85">
        <w:rPr>
          <w:rFonts w:ascii="TH SarabunPSK" w:hAnsi="TH SarabunPSK" w:cs="TH SarabunPSK"/>
          <w:sz w:val="32"/>
          <w:szCs w:val="32"/>
          <w:cs/>
        </w:rPr>
        <w:t>ระบบเพาะเลี้ยงสัตว์น้ำทั้ง</w:t>
      </w:r>
      <w:r w:rsidRPr="00987E85">
        <w:rPr>
          <w:rFonts w:ascii="TH SarabunPSK" w:eastAsia="BrowalliaNew" w:hAnsi="TH SarabunPSK" w:cs="TH SarabunPSK"/>
          <w:sz w:val="32"/>
          <w:szCs w:val="32"/>
          <w:cs/>
        </w:rPr>
        <w:t xml:space="preserve">ในรูปของสารประกอบไนโตรเจนหรือฟอสฟอรัสก็ถือเป็นแหล่งอาหารที่พืชสามารถดูดซึมไปใช้ในการเจริญเติบโต </w:t>
      </w:r>
      <w:r w:rsidRPr="00987E85">
        <w:rPr>
          <w:rFonts w:ascii="TH SarabunPSK" w:hAnsi="TH SarabunPSK" w:cs="TH SarabunPSK"/>
          <w:sz w:val="32"/>
          <w:szCs w:val="32"/>
          <w:cs/>
        </w:rPr>
        <w:t>น้ำเสียที่ถูกพืชดูดซึมธาตุอาหารแล้วสามารถนำกลับมาใช้เลี้ยงสัตว์น้ำเพื่อช่วยลดปริมาณของเสียภายในบ่อเลี้ยง ทั้งยังช่วยลดปริมาณของเสียที่ปลดปล่อยสู่สิ่งแวดล้อม ด้วยเหตุนี้ อควาโปนิกส์จึงเป็นระบบที่ช่วยให้สัตว์น้ำและพืชเจริญเติบโตร่วมกันแบบพึ่งพาอาศัย ภายใต้เงื่อนไขการจัดการระบบให้มีความสมดุล และจากความกังวลด้านความมั่นคงทางอาหาร การอนุรักษ์ทรัพยากร และการเกษตรแบบยั่งยืนที่มีมากขึ้น ทำให้ระบบอควาโพนิกส์ได้รับความสนใจอย่างมาก เนื่องจากถูกมองว่าเป็นทางออกที่ดีในการจัดการกับความท้าทายเหล่านี้ โดยองค์การอาหารและเกษตรแห่งสหประชาชาติ (</w:t>
      </w:r>
      <w:r w:rsidRPr="00987E85">
        <w:rPr>
          <w:rFonts w:ascii="TH SarabunPSK" w:hAnsi="TH SarabunPSK" w:cs="TH SarabunPSK"/>
          <w:sz w:val="32"/>
          <w:szCs w:val="32"/>
        </w:rPr>
        <w:t xml:space="preserve">FAO) 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ได้ตระหนักถึงศักยภาพของระบบอควาโปนิกส์ว่าเป็นการการเกษตรที่ยั่งยืนและมีประสิทธิภาพ และส่งเสริมระบบอควาโปนิกส์ให้เป็นวิธีการเพิ่มการผลิตอาหาร โดยเฉพาะอย่างยิ่งในพื้นที่ที่มีการเข้าถึงทรัพยากรน้ำและที่ดินทำกินอย่างจำกัด ด้วยเหตุนี้ ระบบอควาโพนิกส์ จึงอาจใช้เป็นการเกษตรทางเลือกในบางภูมิภาค เช่น พื้นที่อำเภอบ่อเกลือ จังหวัดน่าน ซึ่งมีลักษณะภูมิประเทศที่เป็นภูเขาสูง มีสภาพอากาศหนาวเย็นจัดในช่วงฤดูหนาว และขาดแคลนพื้นที่ราบในการขุดบ่อเพื่อเลี้ยงปลา ทำให้มีผลผลิตไม่เพียงพอต่อความต้องการของตลาด โดยจากการเก็บข้อมูลเศรษกิจและสังคมของมหาวิทยาลัยเทคโนโลยีพระจอมเกล้าธนบุรี เมื่อปี </w:t>
      </w:r>
      <w:r w:rsidRPr="00987E85">
        <w:rPr>
          <w:rFonts w:ascii="TH SarabunPSK" w:hAnsi="TH SarabunPSK" w:cs="TH SarabunPSK"/>
          <w:sz w:val="32"/>
          <w:szCs w:val="32"/>
        </w:rPr>
        <w:t>256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2 พบว่า </w:t>
      </w:r>
      <w:r w:rsidRPr="00987E85">
        <w:rPr>
          <w:rFonts w:ascii="TH SarabunPSK" w:hAnsi="TH SarabunPSK" w:cs="TH SarabunPSK"/>
          <w:sz w:val="32"/>
          <w:szCs w:val="32"/>
        </w:rPr>
        <w:t>11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 หมู่บ้าน จากทั้งหมด </w:t>
      </w:r>
      <w:r w:rsidRPr="00987E85">
        <w:rPr>
          <w:rFonts w:ascii="TH SarabunPSK" w:hAnsi="TH SarabunPSK" w:cs="TH SarabunPSK"/>
          <w:sz w:val="32"/>
          <w:szCs w:val="32"/>
        </w:rPr>
        <w:t>39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 หมู่บ้าน ในพื้นที่อำเภอบ่อเกลือ มีการซื้อปลาเพื่อบริโภคในพื้นที่เป็นจำนวนเงิน </w:t>
      </w:r>
      <w:r w:rsidRPr="00987E85">
        <w:rPr>
          <w:rFonts w:ascii="TH SarabunPSK" w:hAnsi="TH SarabunPSK" w:cs="TH SarabunPSK"/>
          <w:sz w:val="32"/>
          <w:szCs w:val="32"/>
        </w:rPr>
        <w:t>1,638,745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 บาท โดยกว่าร้อยละ 99 ของมูลค่าเป็นการซื้อปลาจากแหล่งภายนอกอำเภอบ่อเกลือ เนื่องจากระบบอควาโปนิกส์เป็นการประยุกต์ใช้ระบบเพาะเลี้ยงสัตว์น้ำแบบน้ำหมุนเวียนร่วมกับการบำบัดน้ำเสียโดยการปลูกพืชไร้ดิน ทำให้สามารถเลี้ยงปลาที่ความหนาแน่นสูงโดยใช้พื้นที่ในการเลี้ยงน้อย ทำให้สามารถควบคุมสภาวะแวดล้อมในการเลี้ยง เช่น คุณภาพน้ำและอุณภูมิของน้ำได้ง่ายกว่าการเลี้ยงในบ่อเปิด ซึงจะช่วยเพิ่มผลผลิตต่อพื้นที่และทำให้สามารถเลี้ยงปลาได้ตลอดทั้งปี และนอกจากจะได้ผลผลิตปลาซึ่งเป็นแหล่งโปรตีนแล้ว ยังได้ผลผลิตพืชผักควบคู่กันไปด้วย</w:t>
      </w:r>
    </w:p>
    <w:p w14:paraId="6C055BEA" w14:textId="77777777" w:rsidR="00987E85" w:rsidRPr="00987E85" w:rsidRDefault="00987E85" w:rsidP="00987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7E85">
        <w:rPr>
          <w:rFonts w:ascii="TH SarabunPSK" w:eastAsia="Cordia New" w:hAnsi="TH SarabunPSK" w:cs="TH SarabunPSK"/>
          <w:sz w:val="32"/>
          <w:szCs w:val="32"/>
          <w:cs/>
        </w:rPr>
        <w:t>การเลือกพืชผักที่เหมาะสมสำหรับระบบอควาโปนิกส์ถือเป็นปัจจัยสำคัญที่จะทำให้ระบบอควาโปนิกส์ประสบความสำเร็จทั้งในด้านการปรับปรุง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คุณภาพน้ำ และปริมาณผลผลิตของปลาและพืชที่เก็บเกี่ยวได้ ในงานวิจัยนี้ มีแนวคิดในการนำพืชอาหารในท้องถิ่น 2 ชนิด ได้แก่ ต้นบอน </w:t>
      </w:r>
      <w:r w:rsidRPr="00987E85">
        <w:rPr>
          <w:rFonts w:ascii="TH SarabunPSK" w:hAnsi="TH SarabunPSK" w:cs="TH SarabunPSK"/>
          <w:sz w:val="32"/>
          <w:szCs w:val="32"/>
        </w:rPr>
        <w:t>(</w:t>
      </w:r>
      <w:r w:rsidRPr="00987E85">
        <w:rPr>
          <w:rFonts w:ascii="TH SarabunPSK" w:hAnsi="TH SarabunPSK" w:cs="TH SarabunPSK"/>
          <w:i/>
          <w:iCs/>
          <w:sz w:val="32"/>
          <w:szCs w:val="32"/>
        </w:rPr>
        <w:t>Colocasia esculenta</w:t>
      </w:r>
      <w:r w:rsidRPr="00987E85">
        <w:rPr>
          <w:rFonts w:ascii="TH SarabunPSK" w:hAnsi="TH SarabunPSK" w:cs="TH SarabunPSK"/>
          <w:sz w:val="32"/>
          <w:szCs w:val="32"/>
        </w:rPr>
        <w:t xml:space="preserve">) 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และต้นตูน </w:t>
      </w:r>
      <w:r w:rsidRPr="00987E85">
        <w:rPr>
          <w:rFonts w:ascii="TH SarabunPSK" w:hAnsi="TH SarabunPSK" w:cs="TH SarabunPSK"/>
          <w:sz w:val="32"/>
          <w:szCs w:val="32"/>
        </w:rPr>
        <w:t>(</w:t>
      </w:r>
      <w:r w:rsidRPr="00987E85">
        <w:rPr>
          <w:rFonts w:ascii="TH SarabunPSK" w:hAnsi="TH SarabunPSK" w:cs="TH SarabunPSK"/>
          <w:i/>
          <w:iCs/>
          <w:sz w:val="32"/>
          <w:szCs w:val="32"/>
        </w:rPr>
        <w:t>Colocasia gigantea</w:t>
      </w:r>
      <w:r w:rsidRPr="00987E85">
        <w:rPr>
          <w:rFonts w:ascii="TH SarabunPSK" w:hAnsi="TH SarabunPSK" w:cs="TH SarabunPSK"/>
          <w:sz w:val="32"/>
          <w:szCs w:val="32"/>
        </w:rPr>
        <w:t xml:space="preserve">) </w:t>
      </w:r>
      <w:r w:rsidRPr="00987E85">
        <w:rPr>
          <w:rFonts w:ascii="TH SarabunPSK" w:hAnsi="TH SarabunPSK" w:cs="TH SarabunPSK"/>
          <w:sz w:val="32"/>
          <w:szCs w:val="32"/>
          <w:cs/>
        </w:rPr>
        <w:t>มาปลูกในระบบอควาโปนิกส์ร่วมกับการเลี้ยงปลานิล ซึ่งมีข้อได้เปรียบเนื่องจาก พืชท้องถิ่นสามารถปรับตัวให้เข้ากับสภาพอากาศในพื้นที่ได้เป็นอย่างดี จึงสามารถใช้สารอาหารที่ได้รับจากระบบอควาโพนิกส์อย่างมีประสิทธิภาพ ทำให้เจริญเติบโตได้อย่างรวดเร็ว ให้ผลผลิตสูง ต้องการการบำรุงรักษาน้อยเนื่องจากมีความต้านทานศัตรูพืชและโรคที่พบในพื้นที่ ช่วยลดต้นทุนการดำเนินงานและการใช้สารเคมี ทั้งยังเป็นการการอนุรักษ์ความรู้ในท้องถิ่น สอดคล้องกับวัฒนธรรมของชุมชน นอกจากนี้ผลิตภัณฑ์อาหารที่ปลูกในท้องถิ่นและมีเอกลักษณ์มักดึงดูดตลาดเฉพาะกลุ่ม ซึ่งจะช่วยสร้างคุณค่าให้กับผลผลิตเป็นการสร้างโอกาสทางการตลาดได้อีกด้วย</w:t>
      </w:r>
    </w:p>
    <w:p w14:paraId="24A40649" w14:textId="77777777" w:rsidR="00987E85" w:rsidRPr="00987E85" w:rsidRDefault="00987E85" w:rsidP="00987E85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7E85">
        <w:rPr>
          <w:rFonts w:ascii="TH SarabunPSK" w:hAnsi="TH SarabunPSK" w:cs="TH SarabunPSK"/>
          <w:sz w:val="32"/>
          <w:szCs w:val="32"/>
          <w:cs/>
        </w:rPr>
        <w:t>การดำเนินการปัจจุบันสำหรับการศึกษาประสิทธิภาพของต้นบอน (</w:t>
      </w:r>
      <w:r w:rsidRPr="00987E85">
        <w:rPr>
          <w:rFonts w:ascii="TH SarabunPSK" w:hAnsi="TH SarabunPSK" w:cs="TH SarabunPSK"/>
          <w:sz w:val="32"/>
          <w:szCs w:val="32"/>
        </w:rPr>
        <w:t xml:space="preserve">C. esculenta) </w:t>
      </w:r>
      <w:r w:rsidRPr="00987E85">
        <w:rPr>
          <w:rFonts w:ascii="TH SarabunPSK" w:hAnsi="TH SarabunPSK" w:cs="TH SarabunPSK"/>
          <w:sz w:val="32"/>
          <w:szCs w:val="32"/>
          <w:cs/>
        </w:rPr>
        <w:t>และต้นตูน (</w:t>
      </w:r>
      <w:r w:rsidRPr="00987E85">
        <w:rPr>
          <w:rFonts w:ascii="TH SarabunPSK" w:hAnsi="TH SarabunPSK" w:cs="TH SarabunPSK"/>
          <w:sz w:val="32"/>
          <w:szCs w:val="32"/>
        </w:rPr>
        <w:t xml:space="preserve">C. gigantea) </w:t>
      </w:r>
      <w:r w:rsidRPr="00987E85">
        <w:rPr>
          <w:rFonts w:ascii="TH SarabunPSK" w:hAnsi="TH SarabunPSK" w:cs="TH SarabunPSK"/>
          <w:sz w:val="32"/>
          <w:szCs w:val="32"/>
          <w:cs/>
        </w:rPr>
        <w:t xml:space="preserve">ในการบำบัดน้ำทิ้งจากการเลี้ยงปลานิลในระบบอคาโปนิกส์ ได้ดำเนินการดังนี้                                                                         </w:t>
      </w:r>
    </w:p>
    <w:p w14:paraId="4391F61C" w14:textId="77777777" w:rsidR="00987E85" w:rsidRPr="00987E85" w:rsidRDefault="00987E85" w:rsidP="00987E85">
      <w:pPr>
        <w:spacing w:after="0" w:line="240" w:lineRule="auto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lastRenderedPageBreak/>
        <w:t>1) การจัดเตรียมลูกปลานิล โดยการอนุบาลและเลี้ยงลูกปลานิลน้ำหนักเฉลี่ย 3.6 กรัมในระบบน้ำหมุนเวียน (</w:t>
      </w:r>
      <w:r w:rsidRPr="00987E85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RAS) </w:t>
      </w: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ขนาดบ่อ 500 ลิตร ความหนาแน่น 2,000 ตัว/ลบ.ม. เพื่อให้ได้ลูกปลานิลน้ำหนักเฉลี่ย 104.6 กรัม</w:t>
      </w:r>
    </w:p>
    <w:p w14:paraId="519B76F9" w14:textId="77777777" w:rsidR="00987E85" w:rsidRPr="00987E85" w:rsidRDefault="00987E85" w:rsidP="00987E85">
      <w:pPr>
        <w:spacing w:after="0" w:line="240" w:lineRule="auto"/>
        <w:jc w:val="thaiDistribute"/>
        <w:rPr>
          <w:rFonts w:ascii="TH SarabunPSK" w:hAnsi="TH SarabunPSK" w:cs="TH SarabunPSK"/>
          <w:kern w:val="0"/>
          <w:sz w:val="32"/>
          <w:szCs w:val="32"/>
          <w14:ligatures w14:val="none"/>
        </w:rPr>
      </w:pP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2) การจัดเตรียมบ่อเลี้ยง โดยการซ่อมแซม ทำความสะอาดและฆ่าเชื้อโรคในบ่อด้วยการใช้คลอรีนแช่ในบ่อก่อนการทดลอง รวมทั้งตรวจเช็คระบบน้ำ ระบบให้อากาศและระบบไฟฟ้าให้พร้อมสำหรับการศึกษาวิจัย</w:t>
      </w:r>
    </w:p>
    <w:p w14:paraId="06897498" w14:textId="29F5C099" w:rsidR="00987E85" w:rsidRPr="00987E85" w:rsidRDefault="00987E85" w:rsidP="00987E85">
      <w:pPr>
        <w:spacing w:line="240" w:lineRule="auto"/>
        <w:jc w:val="thaiDistribute"/>
        <w:rPr>
          <w:rFonts w:ascii="TH SarabunPSK" w:hAnsi="TH SarabunPSK" w:cs="TH SarabunPSK"/>
        </w:rPr>
      </w:pP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3</w:t>
      </w:r>
      <w:r>
        <w:rPr>
          <w:rFonts w:ascii="TH SarabunPSK" w:hAnsi="TH SarabunPSK" w:cs="TH SarabunPSK" w:hint="cs"/>
          <w:kern w:val="0"/>
          <w:sz w:val="32"/>
          <w:szCs w:val="32"/>
          <w:cs/>
          <w14:ligatures w14:val="none"/>
        </w:rPr>
        <w:t xml:space="preserve">) </w:t>
      </w: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การจัดเตรียมพืชทดลอง ได้แก่ ต้นตูนและต้นบอน ได้จัดหาต้นพันธุ์ที่มีในพื้นที่มาจัดเตรียมในตะกร้า แล้วนำไปวางในบ่อบำบัดน้ำในไตรมาสถัดไปจะเริ่มการทดลองเลี้ยงปลานิลในระบบ </w:t>
      </w:r>
      <w:r w:rsidRPr="00987E85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RAS </w:t>
      </w: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 xml:space="preserve">และมีการตรวจวัดค่าคุณภาพน้ำต่างๆ เช่น </w:t>
      </w:r>
      <w:r w:rsidRPr="00987E85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Total ammonia nitrogen (TAN), </w:t>
      </w: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ไนไตรท์</w:t>
      </w:r>
      <w:r w:rsidRPr="00987E85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, </w:t>
      </w: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ไนเตรท</w:t>
      </w:r>
      <w:r w:rsidRPr="00987E85">
        <w:rPr>
          <w:rFonts w:ascii="TH SarabunPSK" w:hAnsi="TH SarabunPSK" w:cs="TH SarabunPSK"/>
          <w:kern w:val="0"/>
          <w:sz w:val="32"/>
          <w:szCs w:val="32"/>
          <w14:ligatures w14:val="none"/>
        </w:rPr>
        <w:t xml:space="preserve">, </w:t>
      </w:r>
      <w:r w:rsidRPr="00987E85">
        <w:rPr>
          <w:rFonts w:ascii="TH SarabunPSK" w:hAnsi="TH SarabunPSK" w:cs="TH SarabunPSK"/>
          <w:kern w:val="0"/>
          <w:sz w:val="32"/>
          <w:szCs w:val="32"/>
          <w:cs/>
          <w14:ligatures w14:val="none"/>
        </w:rPr>
        <w:t>ฟอสเฟตและเก็บข้อมูลอัตราการเจริญเติบโตของปลานิล อัตราการโตของต้นตูนและต้นบอน</w:t>
      </w:r>
    </w:p>
    <w:sectPr w:rsidR="00987E85" w:rsidRPr="00987E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E85"/>
    <w:rsid w:val="004E539B"/>
    <w:rsid w:val="0098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9140C"/>
  <w15:chartTrackingRefBased/>
  <w15:docId w15:val="{B0A6558D-ECEB-410C-9D04-5736B74F5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E85"/>
  </w:style>
  <w:style w:type="paragraph" w:styleId="Heading1">
    <w:name w:val="heading 1"/>
    <w:basedOn w:val="Normal"/>
    <w:next w:val="Normal"/>
    <w:link w:val="Heading1Char"/>
    <w:uiPriority w:val="9"/>
    <w:qFormat/>
    <w:rsid w:val="00987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7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7E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7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7E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7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7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7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7E8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7E8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7E8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7E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7E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E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7E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7E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7E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7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87E8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7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87E8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87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7E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7E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7E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7E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7E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7E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3380</Characters>
  <Application>Microsoft Office Word</Application>
  <DocSecurity>0</DocSecurity>
  <Lines>28</Lines>
  <Paragraphs>7</Paragraphs>
  <ScaleCrop>false</ScaleCrop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ชยาภรณ์ สิทธิสันติ์</dc:creator>
  <cp:keywords/>
  <dc:description/>
  <cp:lastModifiedBy>ชยาภรณ์ สิทธิสันติ์</cp:lastModifiedBy>
  <cp:revision>1</cp:revision>
  <dcterms:created xsi:type="dcterms:W3CDTF">2025-07-16T14:57:00Z</dcterms:created>
  <dcterms:modified xsi:type="dcterms:W3CDTF">2025-07-16T14:58:00Z</dcterms:modified>
</cp:coreProperties>
</file>