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4D995" w14:textId="77777777" w:rsidR="00FF183B" w:rsidRPr="00FF183B" w:rsidRDefault="00FF183B" w:rsidP="00FF183B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FF183B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FF183B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3E0289AB" w14:textId="443AC3B4" w:rsidR="00FF183B" w:rsidRDefault="00FF183B" w:rsidP="00FF183B">
      <w:pPr>
        <w:spacing w:after="0"/>
        <w:rPr>
          <w:rFonts w:ascii="TH SarabunPSK" w:hAnsi="TH SarabunPSK" w:cs="TH SarabunPSK"/>
          <w:sz w:val="32"/>
          <w:szCs w:val="32"/>
        </w:rPr>
      </w:pPr>
      <w:r w:rsidRPr="00FF183B">
        <w:rPr>
          <w:rFonts w:ascii="TH SarabunPSK" w:hAnsi="TH SarabunPSK" w:cs="TH SarabunPSK"/>
          <w:sz w:val="32"/>
          <w:szCs w:val="32"/>
          <w:cs/>
        </w:rPr>
        <w:t>โครง</w:t>
      </w:r>
      <w:r w:rsidRPr="00FF183B">
        <w:rPr>
          <w:rFonts w:ascii="TH SarabunPSK" w:hAnsi="TH SarabunPSK" w:cs="TH SarabunPSK"/>
          <w:sz w:val="32"/>
          <w:szCs w:val="32"/>
          <w:cs/>
        </w:rPr>
        <w:t>การถอดบทเรียนและประเมินผลตอบแทนทางสังคมจากการศึกษาในระดับ ปวช. ของกลุ่มเปราะบางในพื้นที่สูงที่ได้ทุนจากกองทุนเพื่อการศึกษา เรียนรู้ และสร้างอาชีพ มจธ.</w:t>
      </w:r>
    </w:p>
    <w:p w14:paraId="087338D3" w14:textId="77777777" w:rsidR="00FF183B" w:rsidRPr="001401E1" w:rsidRDefault="00FF183B" w:rsidP="00FF183B">
      <w:pPr>
        <w:shd w:val="clear" w:color="auto" w:fill="FFFFFF"/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การสนับสนุนการศึกษาจากกองทุนเพื่อการศึกษา เรียนรู้ และสร้างอาชีพ มจธ. ได้มอบทุนการศึกษาในระดับประกาศนียบัตรวิชาชีพ (ปวช.) แก่นักเรียนกลุ่มชาติพันธุ์ลัวะในพื้นที่สูง อ.บ่อเกลือ จ.น่าน ร่วมกับวิทยาลัยเทคนิคปัว จากการจัดการเรียนการสอนหลักสูตรทวิศึกษาและอาชีพระยะสั้นในพื้นที่ อ.บ่อเกลือ และ อ.เฉลิมพระเกียรติ พบปัญหาในพื้นที่คือมีนักเรียนที่ต้องการศึกษาต่อสายอาชีพแต่ไม่สามารถเข้าเรียนได้ เนื่องจากวิทยาลัยอาชีวศึกษาอยู่ใน อ.เมือง อ.ปัว และ อ.เวียงสา ซึ่งต้องเสียค่าใช้จ่ายเพิ่มเติม ผู้ปกครองส่วนใหญ่มีฐานะยากจนจึงไม่สามารถสนับสนุนค่าใช้จ่ายในการศึกษาต่อได้ กองทุนเพื่อการศึกษา เรียนรู้ และสร้างอาชีพ มจธ. ได้เริ่มสนับสนุนการจัดการศึกษาในพื้นที่ อ.บ่อเกลือ มาตั้งแต่ปี พ.ศ. 2559 จนถึงปัจจุบัน ในปีการศึกษา 2566 มีนักเรียนที่สำเร็จการศึกษาในระดับ ปวช. แล้วทั้งหมด 3 รุ่น การสนับสนุนนี้ช่วยให้นักเรียนกลุ่มชาติพันธุ์ลัวะมีทักษะ โอกาสในการทำงาน และมีรายได้ที่ดีขึ้น การศึกษาครั้งนี้จึงมีแนวคิดในการถอดบทเรียนและประเมินผลตอบแทนทางสังคมจากการศึกษาในระดับ ปวช. ของกลุ่มชาติพันธุ์ลัวะในพื้นที่สูงที่ได้รับทุนการศึกษาจากกองทุนเพื่อการศึกษา เรียนรู้ และสร้างอาชีพ มจธ. โดยวิเคราะห์หาความสัมพันธ์จากการสนับสนุนทุนการศึกษาและการจัดการศึกษาในระดับ ปวช. เพื่อกำหนดปัจจัยสู่ความสำเร็จ รวมถึงหาแนวทางและข้อเสนอแนะเชิงนโยบายให้กับหน่วยงานภาครัฐและเอกชนในพื้นที่ในการวางแผนพัฒนาการศึกษาบนพื้นที่สูง ทั้งนี้ยังรวมถึงการกำหนดแนวทางการจัดสรรงบประมาณเพื่อแก้ไขปัญหาการขาดแคลนทุนทรัพย์ในการศึกษาต่อในสายอาชีพและพัฒนาคุณภาพชีวิตของชุมชนพื้นที่สูงให้ดียิ่งขึ้นต่อไป</w:t>
      </w:r>
    </w:p>
    <w:p w14:paraId="4757BCB6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การวิจัยนี้ประกอบด้วยเครื่องมือ 2 ชนิดคือ 1) เครื่องมือการถอดบทเรียน และ 2) เครื่องมือประเมินผลตอบแทนทางสังคมจากการลงทุน จากการสัมภาษณ์เชิงลึกแก่กลุ่มผู้ให้ข้อมูลสำคัญ ประกอบด้วย นักเรียนที่ได้รับทุนการศึกษา ผู้ปกครองของนักเรียน บุคลากรของวิทยาลัยเทคนิคปัวและกองทุนเพื่อการศึกษา เรียนรู้และสร้างอาชีพ มจธ. ได้ผลการดำเนินงานดังนี้</w:t>
      </w:r>
    </w:p>
    <w:p w14:paraId="0BEF6597" w14:textId="77777777" w:rsidR="00FF183B" w:rsidRPr="00E75C5D" w:rsidRDefault="00FF183B" w:rsidP="00FF183B">
      <w:pPr>
        <w:spacing w:after="0" w:line="240" w:lineRule="auto"/>
        <w:rPr>
          <w:rFonts w:ascii="TH Sarabun New" w:eastAsia="Cordia New" w:hAnsi="TH Sarabun New" w:cs="TH Sarabun New"/>
          <w:sz w:val="32"/>
          <w:szCs w:val="32"/>
        </w:rPr>
      </w:pPr>
      <w:r w:rsidRPr="00E75C5D">
        <w:rPr>
          <w:rFonts w:ascii="TH Sarabun New" w:hAnsi="TH Sarabun New" w:cs="TH Sarabun New"/>
          <w:sz w:val="32"/>
          <w:szCs w:val="32"/>
          <w:cs/>
        </w:rPr>
        <w:t>1</w:t>
      </w:r>
      <w:r>
        <w:rPr>
          <w:rFonts w:ascii="TH Sarabun New" w:hAnsi="TH Sarabun New" w:cs="TH Sarabun New" w:hint="cs"/>
          <w:sz w:val="32"/>
          <w:szCs w:val="32"/>
          <w:cs/>
        </w:rPr>
        <w:t>)</w:t>
      </w:r>
      <w:r w:rsidRPr="00E75C5D">
        <w:rPr>
          <w:rFonts w:ascii="TH Sarabun New" w:hAnsi="TH Sarabun New" w:cs="TH Sarabun New"/>
          <w:sz w:val="32"/>
          <w:szCs w:val="32"/>
          <w:cs/>
        </w:rPr>
        <w:t xml:space="preserve"> การถอดบทเรียนการจัด</w:t>
      </w:r>
      <w:r w:rsidRPr="00E75C5D">
        <w:rPr>
          <w:rFonts w:ascii="TH Sarabun New" w:eastAsia="Cordia New" w:hAnsi="TH Sarabun New" w:cs="TH Sarabun New"/>
          <w:sz w:val="32"/>
          <w:szCs w:val="32"/>
          <w:cs/>
        </w:rPr>
        <w:t>การศึกษาในระดับ ปวช. ของนักเรียนกลุ่มชาติพันธุ์ลัวะบนพื้นที่สูง</w:t>
      </w:r>
    </w:p>
    <w:p w14:paraId="7A1912AA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การสนับสนุนการศึกษาจากกองทุนเพื่อการศึกษา เรียนรู้ และสร้างอาชีพ มจธ. ได้มอบทุนการศึกษาในระดับประกาศนียบัตรวิชาชีพ (ปวช.) แก่นักเรียนกลุ่มชาติพันธุ์ลัวะในพื้นที่สูง อ.บ่อเกลือ จ.น่าน โดยได้สนับสนุนงบประมาณเพื่อปรับปรุงอาคารเรียนและอาคารพักนอน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ศูนย์บ่อหยวก อ.บ่อเกลือ จ.น่าน รวมถึงสนับสนุนค่าอาหารและค่าเดินทางสำหรับนักเรียน ในปีการศึกษา 2560 - 2562 มีนักเรียนในพื้นที่ อ.บ่อเกลือ และ อ.เฉลิมพระเกียรติ ลงทะเบียนเรียนทั้งหมด 58 คน มีนักเรียนสำเร็จการศึกษาเป็นจำนวน 21 คน คิดเป็นร้อยละ 36.21 และศึกษาต่อในระดับ ปวส. จำนวน 9 คน ดังตารางที่ </w:t>
      </w:r>
      <w:r>
        <w:rPr>
          <w:rFonts w:ascii="TH Sarabun New" w:hAnsi="TH Sarabun New" w:cs="TH Sarabun New"/>
          <w:sz w:val="32"/>
          <w:szCs w:val="32"/>
        </w:rPr>
        <w:t>5</w:t>
      </w:r>
    </w:p>
    <w:p w14:paraId="2EEE0888" w14:textId="77777777" w:rsidR="00FF183B" w:rsidRPr="001401E1" w:rsidRDefault="00FF183B" w:rsidP="00FF183B">
      <w:pPr>
        <w:spacing w:after="0" w:line="240" w:lineRule="auto"/>
        <w:ind w:firstLine="720"/>
        <w:rPr>
          <w:rFonts w:ascii="TH Sarabun New" w:hAnsi="TH Sarabun New" w:cs="TH Sarabun New"/>
          <w:sz w:val="32"/>
          <w:szCs w:val="32"/>
        </w:rPr>
      </w:pPr>
    </w:p>
    <w:p w14:paraId="7CCA1E26" w14:textId="1CAE3EB1" w:rsidR="00FF183B" w:rsidRPr="00AE1369" w:rsidRDefault="00FF183B" w:rsidP="00FF183B">
      <w:pPr>
        <w:spacing w:after="0" w:line="240" w:lineRule="auto"/>
        <w:jc w:val="center"/>
        <w:rPr>
          <w:rFonts w:ascii="TH Sarabun New" w:eastAsia="Cordia New" w:hAnsi="TH Sarabun New" w:cs="TH Sarabun New"/>
          <w:sz w:val="32"/>
          <w:szCs w:val="32"/>
        </w:rPr>
      </w:pPr>
      <w:r w:rsidRPr="00AE1369">
        <w:rPr>
          <w:rFonts w:ascii="TH Sarabun New" w:hAnsi="TH Sarabun New" w:cs="TH Sarabun New"/>
          <w:sz w:val="32"/>
          <w:szCs w:val="32"/>
          <w:cs/>
        </w:rPr>
        <w:lastRenderedPageBreak/>
        <w:t xml:space="preserve"> ตารางสรุปข้อมมูลนักเรียนปีการศึกษา 2560 - 2562</w:t>
      </w:r>
    </w:p>
    <w:tbl>
      <w:tblPr>
        <w:tblStyle w:val="TableGrid"/>
        <w:tblW w:w="927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70"/>
        <w:gridCol w:w="1440"/>
        <w:gridCol w:w="1080"/>
        <w:gridCol w:w="1170"/>
        <w:gridCol w:w="1170"/>
        <w:gridCol w:w="1170"/>
        <w:gridCol w:w="1080"/>
        <w:gridCol w:w="990"/>
      </w:tblGrid>
      <w:tr w:rsidR="00FF183B" w:rsidRPr="001401E1" w14:paraId="03E81EFE" w14:textId="77777777" w:rsidTr="00072FFB">
        <w:trPr>
          <w:trHeight w:val="483"/>
        </w:trPr>
        <w:tc>
          <w:tcPr>
            <w:tcW w:w="1170" w:type="dxa"/>
            <w:vMerge w:val="restart"/>
            <w:vAlign w:val="center"/>
          </w:tcPr>
          <w:p w14:paraId="70F3825A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ปีการศึกษา</w:t>
            </w:r>
          </w:p>
        </w:tc>
        <w:tc>
          <w:tcPr>
            <w:tcW w:w="1440" w:type="dxa"/>
            <w:vMerge w:val="restart"/>
            <w:vAlign w:val="center"/>
          </w:tcPr>
          <w:p w14:paraId="48DC9BEC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สาขาวิชา</w:t>
            </w:r>
          </w:p>
        </w:tc>
        <w:tc>
          <w:tcPr>
            <w:tcW w:w="3420" w:type="dxa"/>
            <w:gridSpan w:val="3"/>
            <w:vAlign w:val="center"/>
          </w:tcPr>
          <w:p w14:paraId="525695DC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จำนวนนักเรียน ระดับ ปวช.</w:t>
            </w:r>
          </w:p>
        </w:tc>
        <w:tc>
          <w:tcPr>
            <w:tcW w:w="3240" w:type="dxa"/>
            <w:gridSpan w:val="3"/>
            <w:vAlign w:val="center"/>
          </w:tcPr>
          <w:p w14:paraId="5EBFECB1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จำนวนนักเรียน ระดับ ปวส.</w:t>
            </w:r>
          </w:p>
        </w:tc>
      </w:tr>
      <w:tr w:rsidR="00FF183B" w:rsidRPr="001401E1" w14:paraId="096A8C7A" w14:textId="77777777" w:rsidTr="00072FFB">
        <w:trPr>
          <w:trHeight w:val="149"/>
        </w:trPr>
        <w:tc>
          <w:tcPr>
            <w:tcW w:w="1170" w:type="dxa"/>
            <w:vMerge/>
            <w:vAlign w:val="center"/>
          </w:tcPr>
          <w:p w14:paraId="7AF99DD5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440" w:type="dxa"/>
            <w:vMerge/>
            <w:vAlign w:val="center"/>
          </w:tcPr>
          <w:p w14:paraId="5528F0FC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</w:p>
        </w:tc>
        <w:tc>
          <w:tcPr>
            <w:tcW w:w="1080" w:type="dxa"/>
            <w:vAlign w:val="center"/>
          </w:tcPr>
          <w:p w14:paraId="1EB1D016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แรกเข้า ระดับปวช.</w:t>
            </w:r>
          </w:p>
        </w:tc>
        <w:tc>
          <w:tcPr>
            <w:tcW w:w="1170" w:type="dxa"/>
            <w:vAlign w:val="center"/>
          </w:tcPr>
          <w:p w14:paraId="26889BFC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สำเร็จการศึกษา</w:t>
            </w:r>
          </w:p>
        </w:tc>
        <w:tc>
          <w:tcPr>
            <w:tcW w:w="1170" w:type="dxa"/>
            <w:vAlign w:val="center"/>
          </w:tcPr>
          <w:p w14:paraId="61D4CAAB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ไม่สำเร็จการศึกษา</w:t>
            </w:r>
          </w:p>
        </w:tc>
        <w:tc>
          <w:tcPr>
            <w:tcW w:w="1170" w:type="dxa"/>
            <w:vAlign w:val="center"/>
          </w:tcPr>
          <w:p w14:paraId="3B6FDDD5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ศึกษาต่อระดับ ปวส.</w:t>
            </w:r>
          </w:p>
        </w:tc>
        <w:tc>
          <w:tcPr>
            <w:tcW w:w="1080" w:type="dxa"/>
            <w:vAlign w:val="center"/>
          </w:tcPr>
          <w:p w14:paraId="4D9E1ACE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สำเร็จการศึกษา</w:t>
            </w:r>
          </w:p>
        </w:tc>
        <w:tc>
          <w:tcPr>
            <w:tcW w:w="990" w:type="dxa"/>
            <w:vAlign w:val="center"/>
          </w:tcPr>
          <w:p w14:paraId="4577364A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b/>
                <w:bCs/>
                <w:sz w:val="28"/>
                <w:cs/>
              </w:rPr>
              <w:t>ไม่สำเร็จการศึกษา</w:t>
            </w:r>
          </w:p>
        </w:tc>
      </w:tr>
      <w:tr w:rsidR="00FF183B" w:rsidRPr="001401E1" w14:paraId="35D4E6BF" w14:textId="77777777" w:rsidTr="00072FFB">
        <w:trPr>
          <w:trHeight w:val="395"/>
        </w:trPr>
        <w:tc>
          <w:tcPr>
            <w:tcW w:w="1170" w:type="dxa"/>
            <w:vAlign w:val="center"/>
          </w:tcPr>
          <w:p w14:paraId="579BE4C2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2560</w:t>
            </w:r>
          </w:p>
        </w:tc>
        <w:tc>
          <w:tcPr>
            <w:tcW w:w="1440" w:type="dxa"/>
            <w:vAlign w:val="center"/>
          </w:tcPr>
          <w:p w14:paraId="12A3C869" w14:textId="77777777" w:rsidR="00FF183B" w:rsidRPr="001401E1" w:rsidRDefault="00FF183B" w:rsidP="00072FFB">
            <w:pPr>
              <w:spacing w:after="0" w:line="240" w:lineRule="auto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ช่างไฟฟ้า</w:t>
            </w:r>
          </w:p>
        </w:tc>
        <w:tc>
          <w:tcPr>
            <w:tcW w:w="1080" w:type="dxa"/>
            <w:vAlign w:val="center"/>
          </w:tcPr>
          <w:p w14:paraId="304C2722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19</w:t>
            </w:r>
          </w:p>
        </w:tc>
        <w:tc>
          <w:tcPr>
            <w:tcW w:w="1170" w:type="dxa"/>
            <w:vAlign w:val="center"/>
          </w:tcPr>
          <w:p w14:paraId="748605A9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8</w:t>
            </w:r>
          </w:p>
        </w:tc>
        <w:tc>
          <w:tcPr>
            <w:tcW w:w="1170" w:type="dxa"/>
            <w:vAlign w:val="center"/>
          </w:tcPr>
          <w:p w14:paraId="54941B14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11</w:t>
            </w:r>
          </w:p>
        </w:tc>
        <w:tc>
          <w:tcPr>
            <w:tcW w:w="1170" w:type="dxa"/>
            <w:vAlign w:val="center"/>
          </w:tcPr>
          <w:p w14:paraId="50DFC3AD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5</w:t>
            </w:r>
          </w:p>
        </w:tc>
        <w:tc>
          <w:tcPr>
            <w:tcW w:w="1080" w:type="dxa"/>
            <w:vAlign w:val="center"/>
          </w:tcPr>
          <w:p w14:paraId="3362B5E4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4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CE8B0D6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</w:t>
            </w:r>
          </w:p>
        </w:tc>
      </w:tr>
      <w:tr w:rsidR="00FF183B" w:rsidRPr="001401E1" w14:paraId="04830745" w14:textId="77777777" w:rsidTr="00072FFB">
        <w:trPr>
          <w:trHeight w:val="341"/>
        </w:trPr>
        <w:tc>
          <w:tcPr>
            <w:tcW w:w="1170" w:type="dxa"/>
            <w:vAlign w:val="center"/>
          </w:tcPr>
          <w:p w14:paraId="43A50188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2561</w:t>
            </w:r>
          </w:p>
        </w:tc>
        <w:tc>
          <w:tcPr>
            <w:tcW w:w="1440" w:type="dxa"/>
            <w:vAlign w:val="center"/>
          </w:tcPr>
          <w:p w14:paraId="2C389793" w14:textId="77777777" w:rsidR="00FF183B" w:rsidRPr="001401E1" w:rsidRDefault="00FF183B" w:rsidP="00072FFB">
            <w:pPr>
              <w:spacing w:after="0" w:line="240" w:lineRule="auto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ช่างยนต์</w:t>
            </w:r>
          </w:p>
        </w:tc>
        <w:tc>
          <w:tcPr>
            <w:tcW w:w="1080" w:type="dxa"/>
            <w:vAlign w:val="center"/>
          </w:tcPr>
          <w:p w14:paraId="121B9BBA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18</w:t>
            </w:r>
          </w:p>
        </w:tc>
        <w:tc>
          <w:tcPr>
            <w:tcW w:w="1170" w:type="dxa"/>
            <w:vAlign w:val="center"/>
          </w:tcPr>
          <w:p w14:paraId="4831E053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7</w:t>
            </w:r>
          </w:p>
        </w:tc>
        <w:tc>
          <w:tcPr>
            <w:tcW w:w="1170" w:type="dxa"/>
            <w:vAlign w:val="center"/>
          </w:tcPr>
          <w:p w14:paraId="3C779B02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11</w:t>
            </w:r>
          </w:p>
        </w:tc>
        <w:tc>
          <w:tcPr>
            <w:tcW w:w="1170" w:type="dxa"/>
            <w:vAlign w:val="center"/>
          </w:tcPr>
          <w:p w14:paraId="538260CF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3</w:t>
            </w:r>
          </w:p>
        </w:tc>
        <w:tc>
          <w:tcPr>
            <w:tcW w:w="1080" w:type="dxa"/>
            <w:vAlign w:val="center"/>
          </w:tcPr>
          <w:p w14:paraId="4BC8D12C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3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720D5501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0</w:t>
            </w:r>
          </w:p>
        </w:tc>
      </w:tr>
      <w:tr w:rsidR="00FF183B" w:rsidRPr="001401E1" w14:paraId="007FD261" w14:textId="77777777" w:rsidTr="00072FFB">
        <w:trPr>
          <w:trHeight w:val="323"/>
        </w:trPr>
        <w:tc>
          <w:tcPr>
            <w:tcW w:w="1170" w:type="dxa"/>
            <w:vAlign w:val="center"/>
          </w:tcPr>
          <w:p w14:paraId="31BA97F1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2562</w:t>
            </w:r>
          </w:p>
        </w:tc>
        <w:tc>
          <w:tcPr>
            <w:tcW w:w="1440" w:type="dxa"/>
            <w:vAlign w:val="center"/>
          </w:tcPr>
          <w:p w14:paraId="5E63C307" w14:textId="77777777" w:rsidR="00FF183B" w:rsidRPr="001401E1" w:rsidRDefault="00FF183B" w:rsidP="00072FFB">
            <w:pPr>
              <w:spacing w:after="0" w:line="240" w:lineRule="auto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ช่างยนต์</w:t>
            </w:r>
          </w:p>
        </w:tc>
        <w:tc>
          <w:tcPr>
            <w:tcW w:w="1080" w:type="dxa"/>
            <w:vAlign w:val="center"/>
          </w:tcPr>
          <w:p w14:paraId="343DD283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21</w:t>
            </w:r>
          </w:p>
        </w:tc>
        <w:tc>
          <w:tcPr>
            <w:tcW w:w="1170" w:type="dxa"/>
            <w:vAlign w:val="center"/>
          </w:tcPr>
          <w:p w14:paraId="42C1C5CE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6</w:t>
            </w:r>
          </w:p>
        </w:tc>
        <w:tc>
          <w:tcPr>
            <w:tcW w:w="1170" w:type="dxa"/>
            <w:vAlign w:val="center"/>
          </w:tcPr>
          <w:p w14:paraId="1ECE3DFD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15</w:t>
            </w:r>
          </w:p>
        </w:tc>
        <w:tc>
          <w:tcPr>
            <w:tcW w:w="1170" w:type="dxa"/>
            <w:vAlign w:val="center"/>
          </w:tcPr>
          <w:p w14:paraId="692CD7B1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</w:t>
            </w:r>
          </w:p>
        </w:tc>
        <w:tc>
          <w:tcPr>
            <w:tcW w:w="1080" w:type="dxa"/>
            <w:vAlign w:val="center"/>
          </w:tcPr>
          <w:p w14:paraId="785B97C2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CD9F458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0</w:t>
            </w:r>
          </w:p>
        </w:tc>
      </w:tr>
      <w:tr w:rsidR="00FF183B" w:rsidRPr="001401E1" w14:paraId="057A214C" w14:textId="77777777" w:rsidTr="00072FFB">
        <w:trPr>
          <w:trHeight w:val="341"/>
        </w:trPr>
        <w:tc>
          <w:tcPr>
            <w:tcW w:w="2610" w:type="dxa"/>
            <w:gridSpan w:val="2"/>
            <w:vAlign w:val="center"/>
          </w:tcPr>
          <w:p w14:paraId="42B670D6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รวม</w:t>
            </w:r>
          </w:p>
        </w:tc>
        <w:tc>
          <w:tcPr>
            <w:tcW w:w="1080" w:type="dxa"/>
            <w:vAlign w:val="center"/>
          </w:tcPr>
          <w:p w14:paraId="6C1391EA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58</w:t>
            </w:r>
          </w:p>
        </w:tc>
        <w:tc>
          <w:tcPr>
            <w:tcW w:w="1170" w:type="dxa"/>
            <w:vAlign w:val="center"/>
          </w:tcPr>
          <w:p w14:paraId="45D1B0F3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21</w:t>
            </w:r>
          </w:p>
        </w:tc>
        <w:tc>
          <w:tcPr>
            <w:tcW w:w="1170" w:type="dxa"/>
            <w:vAlign w:val="center"/>
          </w:tcPr>
          <w:p w14:paraId="187E2655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37</w:t>
            </w:r>
          </w:p>
        </w:tc>
        <w:tc>
          <w:tcPr>
            <w:tcW w:w="1170" w:type="dxa"/>
            <w:vAlign w:val="center"/>
          </w:tcPr>
          <w:p w14:paraId="3A914C5E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9</w:t>
            </w:r>
          </w:p>
        </w:tc>
        <w:tc>
          <w:tcPr>
            <w:tcW w:w="1080" w:type="dxa"/>
            <w:vAlign w:val="center"/>
          </w:tcPr>
          <w:p w14:paraId="732B828B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8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73C0AE0" w14:textId="77777777" w:rsidR="00FF183B" w:rsidRPr="001401E1" w:rsidRDefault="00FF183B" w:rsidP="00072FF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</w:rPr>
            </w:pPr>
            <w:r w:rsidRPr="001401E1">
              <w:rPr>
                <w:rFonts w:ascii="TH Sarabun New" w:hAnsi="TH Sarabun New" w:cs="TH Sarabun New"/>
                <w:sz w:val="28"/>
                <w:cs/>
              </w:rPr>
              <w:t>1</w:t>
            </w:r>
          </w:p>
        </w:tc>
      </w:tr>
    </w:tbl>
    <w:p w14:paraId="395C25FE" w14:textId="77777777" w:rsidR="00FF183B" w:rsidRPr="001401E1" w:rsidRDefault="00FF183B" w:rsidP="00FF183B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14:paraId="1F2A62C2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 xml:space="preserve">การบริหารจัดการโครงการนี้ วิทยาลัยเทคนิคปัวได้นำหลักสูตรแกนกลางของคณะกรรมการการอาชีวศึกษามาปรับใช้ให้เหมาะสมกับบริบทของพื้นที่สูงใน อ.บ่อเกลือ การศึกษาแบ่งออกเป็นสองระยะ โดยนักเรียน ปวช. ปีที่ </w:t>
      </w:r>
      <w:r w:rsidRPr="001401E1">
        <w:rPr>
          <w:rFonts w:ascii="TH Sarabun New" w:hAnsi="TH Sarabun New" w:cs="TH Sarabun New"/>
          <w:sz w:val="32"/>
          <w:szCs w:val="32"/>
        </w:rPr>
        <w:t>1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จะศึกษาอยู่ที่ศูนย์บ่อหยวก</w:t>
      </w:r>
      <w:r w:rsidRPr="001401E1">
        <w:rPr>
          <w:rFonts w:ascii="TH Sarabun New" w:hAnsi="TH Sarabun New" w:cs="TH Sarabun New"/>
          <w:sz w:val="32"/>
          <w:szCs w:val="32"/>
        </w:rPr>
        <w:t xml:space="preserve"> 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อ.บ่อเกลือ จ.น่าน ส่วนปีที่ </w:t>
      </w:r>
      <w:r w:rsidRPr="001401E1">
        <w:rPr>
          <w:rFonts w:ascii="TH Sarabun New" w:hAnsi="TH Sarabun New" w:cs="TH Sarabun New"/>
          <w:sz w:val="32"/>
          <w:szCs w:val="32"/>
        </w:rPr>
        <w:t>2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และ </w:t>
      </w:r>
      <w:r w:rsidRPr="001401E1">
        <w:rPr>
          <w:rFonts w:ascii="TH Sarabun New" w:hAnsi="TH Sarabun New" w:cs="TH Sarabun New"/>
          <w:sz w:val="32"/>
          <w:szCs w:val="32"/>
        </w:rPr>
        <w:t>3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จะศึกษาอยู่ที่วิทยาลัยเทคนิคปัว อ.ปัว จ.น่าน แนวทางการจัดการเรียนการสอนของวิทยาลัยเทคนิคปัว มุ้งเน้นการเรียนรู้ผ่านการปฏิบัติ ครูผู้สอนสามารถออกแบบการเรียนการสอนให้เหมาะสมกับนักเรียนกลุ่มชาติพันธุ์ลัวะที่มีพื้นฐานทางวิชาการไม่สูงนัก แต่สามารถเรียนรู้ได้ดีจากการปฏิบัติจริง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ในระหว่างการศึกษา นักเรียนจะได้รับการดูแลและช่วยเหลือจากครูที่ปรึกษาประจำชั้น ซึ่งจะคอยติดตามการมาเรียน การพักอาศัย และจัดกิจกรรมบูรณาการระหว่างเรียน นักเรียนในปีแรกจะพักอาศัยที่หอพักศูนย์บ่อหยวก และบางส่วนจะเดินทางไปกลับ ส่วนปีที่ </w:t>
      </w:r>
      <w:r w:rsidRPr="001401E1">
        <w:rPr>
          <w:rFonts w:ascii="TH Sarabun New" w:hAnsi="TH Sarabun New" w:cs="TH Sarabun New"/>
          <w:sz w:val="32"/>
          <w:szCs w:val="32"/>
        </w:rPr>
        <w:t>2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เป็นต้นไป นักเรียนจะเลือกพักอาศัยในหอพักนอกวิทยาลัย ทำให้ครูที่ปรึกษาติดตามการดูแลนักเรียนได้ยากยิ่งขึ้น และจากการมีค่าใช้จ่ายด้านที่พักอาศัย ทำให้นักเรียนประสบปัญหาด้านการเงินตามมา</w:t>
      </w:r>
    </w:p>
    <w:p w14:paraId="381B6C04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ผลการจัดการศึกษาสำหรับนักเรียน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ทุนฯ 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ปีการศึกษา 2560 - 2562  พบว่า นักเรียนจำนวน </w:t>
      </w:r>
      <w:r w:rsidRPr="001401E1">
        <w:rPr>
          <w:rFonts w:ascii="TH Sarabun New" w:hAnsi="TH Sarabun New" w:cs="TH Sarabun New"/>
          <w:sz w:val="32"/>
          <w:szCs w:val="32"/>
        </w:rPr>
        <w:t>6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คน สามารถประกอบอาชีพด้านช่างเทคนิค มีรายได้เฉลี่ย </w:t>
      </w:r>
      <w:r w:rsidRPr="001401E1">
        <w:rPr>
          <w:rFonts w:ascii="TH Sarabun New" w:hAnsi="TH Sarabun New" w:cs="TH Sarabun New"/>
          <w:sz w:val="32"/>
          <w:szCs w:val="32"/>
        </w:rPr>
        <w:t>7,000 - 15,000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บาทต่อเดือน นักเรียนจำนวน </w:t>
      </w:r>
      <w:r w:rsidRPr="001401E1">
        <w:rPr>
          <w:rFonts w:ascii="TH Sarabun New" w:hAnsi="TH Sarabun New" w:cs="TH Sarabun New"/>
          <w:sz w:val="32"/>
          <w:szCs w:val="32"/>
        </w:rPr>
        <w:t>14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คน </w:t>
      </w:r>
      <w:r>
        <w:rPr>
          <w:rFonts w:ascii="TH Sarabun New" w:hAnsi="TH Sarabun New" w:cs="TH Sarabun New" w:hint="cs"/>
          <w:sz w:val="32"/>
          <w:szCs w:val="32"/>
          <w:cs/>
        </w:rPr>
        <w:t>กลับไปประกอบ</w:t>
      </w:r>
      <w:r w:rsidRPr="001401E1">
        <w:rPr>
          <w:rFonts w:ascii="TH Sarabun New" w:hAnsi="TH Sarabun New" w:cs="TH Sarabun New"/>
          <w:sz w:val="32"/>
          <w:szCs w:val="32"/>
          <w:cs/>
        </w:rPr>
        <w:t>เกษตรกับครอบครัว</w:t>
      </w:r>
      <w:r>
        <w:rPr>
          <w:rFonts w:ascii="TH Sarabun New" w:hAnsi="TH Sarabun New" w:cs="TH Sarabun New" w:hint="cs"/>
          <w:sz w:val="32"/>
          <w:szCs w:val="32"/>
          <w:cs/>
        </w:rPr>
        <w:t>ในพื้นที่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มีรายได้ประมาณ </w:t>
      </w:r>
      <w:r w:rsidRPr="001401E1">
        <w:rPr>
          <w:rFonts w:ascii="TH Sarabun New" w:hAnsi="TH Sarabun New" w:cs="TH Sarabun New"/>
          <w:sz w:val="32"/>
          <w:szCs w:val="32"/>
        </w:rPr>
        <w:t>6,000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บาทต่อเดือน และมีนักเรียนอีก </w:t>
      </w:r>
      <w:r w:rsidRPr="001401E1">
        <w:rPr>
          <w:rFonts w:ascii="TH Sarabun New" w:hAnsi="TH Sarabun New" w:cs="TH Sarabun New"/>
          <w:sz w:val="32"/>
          <w:szCs w:val="32"/>
        </w:rPr>
        <w:t>1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 คน กำลังศึกษาต่อในระดับประกาศนียบัตรวิชาชีพชั้นสูง (ปวส.) นอกจากนักเรียนจะสามารถนำความรู้จากการศึกษาไปสร้างรายได้ให้กับตนเองและครอบครัวแล้ว นักเรียนยังสามารถพัฒนาทักษะทางสังคมระหว่างการศึกษา เนื่องจากการที่นักเรียนต้องย้ายจากพื้นที่สูงมาสู่สังคมในเมือง ซึ่งมีความแตกต่างทางวัฒนธรรมและวิถีชีวิต ทำให้นักเรียนต้องเผชิญกับความท้าทายและการปรับตัวอย่างมาก การเผชิญกับความท้าทายนี้ช่วยให้นักเรียนสามารถปรับตัวและพัฒนาทักษะทางสังคมได้ดียิ่งขึ้น ซึ่งเป็นประโยชน์ต่อการดำเนินชีวิตและการทำงานในอนาคต</w:t>
      </w:r>
    </w:p>
    <w:p w14:paraId="0F0BB07F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ปัจจัยที่ส่งผลต่อการสำเร็จการศึกษา ประกอบด้วยการสนับสนุนด้านการเงินและด้านจิตใจจากครอบครัว ความสัมพันธ์ที่ดีระหว่างนักเรียนและครู รวมถึงการติดตามดูแลจากครูที่ปรึกษา นักเรียนที่มีความพร้อมด้านจิตใจและสามารถปรับตัวเข้ากับสภาพแวดล้อมใหม่ได้ดี จะมีแรงบันดาลใจในการศึกษา ซึ่งช่วยผลักดันให้นักเรียนมุ่งมั่น</w:t>
      </w:r>
      <w:r w:rsidRPr="001401E1">
        <w:rPr>
          <w:rFonts w:ascii="TH Sarabun New" w:hAnsi="TH Sarabun New" w:cs="TH Sarabun New"/>
          <w:sz w:val="32"/>
          <w:szCs w:val="32"/>
          <w:cs/>
        </w:rPr>
        <w:lastRenderedPageBreak/>
        <w:t>ที่จะสำเร็จการศึกษาในระดับ ปวช. อย่างไรก็ตาม โครงการสนับสนุนทุนการศึกษานี้ยังพบปัญหาและอุปสรรคในการดำเนินงานอยู่หลายประการ เช่น นักเรียนไม่มาเรียนเนื่องจากสภาพความเป็นอยู่ที่ยากลำบาก นักเรียนต้องช่วยครอบครัวทำงานเพื่อหารายได้เลี้ยงชีพ การที่นักเรียนย้ายไปพักนอกวิทยาลัยทำให้เกิดปัญหาด้านค่าใช้จ่าย และ</w:t>
      </w:r>
      <w:r w:rsidRPr="00740DF9">
        <w:rPr>
          <w:rFonts w:ascii="TH Sarabun New" w:hAnsi="TH Sarabun New" w:cs="TH Sarabun New"/>
          <w:sz w:val="32"/>
          <w:szCs w:val="32"/>
          <w:cs/>
        </w:rPr>
        <w:t>ปัญหาการเบิกจ่ายเงินสนับสนุนส่งผลให้นักเรียนมีปัญหาด้านการจัดการทางการเงิน</w:t>
      </w:r>
    </w:p>
    <w:p w14:paraId="4E7E9FD9" w14:textId="77777777" w:rsidR="00FF183B" w:rsidRPr="00922973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จากการวิเคราะห์และประเมินผลโครงการ พบว่า การปรับปรุงกระบวนการจัดการด้านการเงินและการเบิกจ่ายให้มีประสิทธิภาพ เพื่อให้คำแนะนำด้านการบริหารเงินทุนแก่นักเรียนและให้นักเรียนได้รับเงินสนับสนุนตรงเวลา การสนับสนุนการอยู่หอพักในวิทยาลัยเพื่อให้ครูที่ปรึกษาสามารถติดตามดูแลให้ความช่วยเหลือนักเรียน สามารถพัฒนาความสัมพันธ์ระหว่างครูและนักเรียนและสามารถลดภาระค่าใช้จ่ายในการพักอาศัย จะช่วยเพิ่มประสิทธิภาพในการดำเนินโครงการสนับสนุนทุนการศึกษา สร้างโอกาสในการเรียนรู้และพัฒนาทักษะของนักเรียนกลุ่มชาติพันธุ์ลัวะในพื้นที่สูงให้ดียิ่งขึ้น อันจะนำไปสู่การพัฒนาคุณภาพชีวิตของชุมชนพื้นที่สูงในระยะยาวต่อไป</w:t>
      </w:r>
    </w:p>
    <w:p w14:paraId="6AC72C02" w14:textId="77777777" w:rsidR="00FF183B" w:rsidRPr="00E75C5D" w:rsidRDefault="00FF183B" w:rsidP="00FF183B">
      <w:pPr>
        <w:tabs>
          <w:tab w:val="left" w:pos="450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E75C5D">
        <w:rPr>
          <w:rFonts w:ascii="TH Sarabun New" w:hAnsi="TH Sarabun New" w:cs="TH Sarabun New"/>
          <w:sz w:val="32"/>
          <w:szCs w:val="32"/>
          <w:cs/>
        </w:rPr>
        <w:t>2</w:t>
      </w:r>
      <w:r>
        <w:rPr>
          <w:rFonts w:ascii="TH Sarabun New" w:hAnsi="TH Sarabun New" w:cs="TH Sarabun New" w:hint="cs"/>
          <w:sz w:val="32"/>
          <w:szCs w:val="32"/>
          <w:cs/>
        </w:rPr>
        <w:t>)</w:t>
      </w:r>
      <w:r w:rsidRPr="00E75C5D">
        <w:rPr>
          <w:rFonts w:ascii="TH Sarabun New" w:hAnsi="TH Sarabun New" w:cs="TH Sarabun New"/>
          <w:sz w:val="32"/>
          <w:szCs w:val="32"/>
          <w:cs/>
        </w:rPr>
        <w:t xml:space="preserve"> การประเมินผลตอบแทนทางสังคม จาก</w:t>
      </w:r>
      <w:r w:rsidRPr="00E75C5D">
        <w:rPr>
          <w:rFonts w:ascii="TH Sarabun New" w:eastAsia="Cordia New" w:hAnsi="TH Sarabun New" w:cs="TH Sarabun New"/>
          <w:sz w:val="32"/>
          <w:szCs w:val="32"/>
          <w:cs/>
        </w:rPr>
        <w:t>การสำเร็จการศึกษาในระดับ ปวช. ของนักเรียนกลุ่มชาติพันธุ์ลัวะ</w:t>
      </w:r>
    </w:p>
    <w:p w14:paraId="75F0434E" w14:textId="77777777" w:rsidR="00FF183B" w:rsidRPr="001401E1" w:rsidRDefault="00FF183B" w:rsidP="00FF183B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1401E1">
        <w:rPr>
          <w:rFonts w:ascii="TH Sarabun New" w:hAnsi="TH Sarabun New" w:cs="TH Sarabun New"/>
          <w:sz w:val="32"/>
          <w:szCs w:val="32"/>
          <w:cs/>
        </w:rPr>
        <w:t>ผลรวมต้นทุนการจัดการศึกษาในระดับ ปวช. ของกลุ่มชาติพันธุ์ลัวะในพื้นที่สูงซึ่งประกอบด้วย ต้นทุนส่วนบุคคลและต้นทุนส่วนสังคม ได้แก่ ต้นทุนของครอบครัวนักเรียน ต้นทุนของวิทยาลัยเทคนิคปัวและต้นทุนของกองทุนเพื่อการศึกษา เรียนรู้และสร้างอาชีพ มจธ. พบว่า มีต้นทุนงบประมาณทั้งหมด 3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641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612.33 บาท โดยเมื่อพิจารณาเป็นมูลค่าปัจจุบันของต้นทุนรวม (</w:t>
      </w:r>
      <w:r w:rsidRPr="001401E1">
        <w:rPr>
          <w:rFonts w:ascii="TH Sarabun New" w:hAnsi="TH Sarabun New" w:cs="TH Sarabun New"/>
          <w:sz w:val="32"/>
          <w:szCs w:val="32"/>
        </w:rPr>
        <w:t xml:space="preserve">Total Present Cost) </w:t>
      </w:r>
      <w:r w:rsidRPr="001401E1">
        <w:rPr>
          <w:rFonts w:ascii="TH Sarabun New" w:hAnsi="TH Sarabun New" w:cs="TH Sarabun New"/>
          <w:sz w:val="32"/>
          <w:szCs w:val="32"/>
          <w:cs/>
        </w:rPr>
        <w:t>จะมีค่าเท่ากับ 3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342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024.15 บาท โดยใช้ต้นทุนของกองทุนเพื่อการศึกษา เรียนรู้และสร้างอาชีพ</w:t>
      </w:r>
      <w:r w:rsidRPr="001401E1">
        <w:rPr>
          <w:rFonts w:ascii="TH Sarabun New" w:hAnsi="TH Sarabun New" w:cs="TH Sarabun New"/>
          <w:sz w:val="32"/>
          <w:szCs w:val="32"/>
        </w:rPr>
        <w:t xml:space="preserve"> 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มากที่สุด คิดเป็นจำนวน </w:t>
      </w:r>
      <w:r w:rsidRPr="001401E1">
        <w:rPr>
          <w:rFonts w:ascii="TH Sarabun New" w:hAnsi="TH Sarabun New" w:cs="TH Sarabun New"/>
          <w:sz w:val="32"/>
          <w:szCs w:val="32"/>
        </w:rPr>
        <w:t>1</w:t>
      </w:r>
      <w:r w:rsidRPr="001401E1">
        <w:rPr>
          <w:rFonts w:ascii="TH Sarabun New" w:hAnsi="TH Sarabun New" w:cs="TH Sarabun New"/>
          <w:sz w:val="32"/>
          <w:szCs w:val="32"/>
          <w:cs/>
        </w:rPr>
        <w:t>,</w:t>
      </w:r>
      <w:r w:rsidRPr="001401E1">
        <w:rPr>
          <w:rFonts w:ascii="TH Sarabun New" w:hAnsi="TH Sarabun New" w:cs="TH Sarabun New"/>
          <w:sz w:val="32"/>
          <w:szCs w:val="32"/>
        </w:rPr>
        <w:t>2</w:t>
      </w:r>
      <w:r w:rsidRPr="001401E1">
        <w:rPr>
          <w:rFonts w:ascii="TH Sarabun New" w:hAnsi="TH Sarabun New" w:cs="TH Sarabun New"/>
          <w:sz w:val="32"/>
          <w:szCs w:val="32"/>
          <w:cs/>
        </w:rPr>
        <w:t>47,243.41 บาท (ร้อยละ 37.32) รองลงมาคือต้นทุนของวิทยาลัยเทคนิคปัวเป็นจำนวน 1,</w:t>
      </w:r>
      <w:r w:rsidRPr="001401E1">
        <w:rPr>
          <w:rFonts w:ascii="TH Sarabun New" w:hAnsi="TH Sarabun New" w:cs="TH Sarabun New"/>
          <w:sz w:val="32"/>
          <w:szCs w:val="32"/>
        </w:rPr>
        <w:t>1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49,990.51 บาท (ร้อยละ 34.41) และต้นทุนส่วนบุคคลคิดน้อยที่สุด คิดเป็นจำนวนเงิน </w:t>
      </w:r>
      <w:r w:rsidRPr="001401E1">
        <w:rPr>
          <w:rFonts w:ascii="TH Sarabun New" w:hAnsi="TH Sarabun New" w:cs="TH Sarabun New"/>
          <w:sz w:val="32"/>
          <w:szCs w:val="32"/>
        </w:rPr>
        <w:t>9</w:t>
      </w:r>
      <w:r w:rsidRPr="001401E1">
        <w:rPr>
          <w:rFonts w:ascii="TH Sarabun New" w:hAnsi="TH Sarabun New" w:cs="TH Sarabun New"/>
          <w:sz w:val="32"/>
          <w:szCs w:val="32"/>
          <w:cs/>
        </w:rPr>
        <w:t>22,732.868 บาท (ร้อยละ 27.61)</w:t>
      </w:r>
    </w:p>
    <w:p w14:paraId="1D530DD6" w14:textId="77777777" w:rsidR="00FF183B" w:rsidRPr="001401E1" w:rsidRDefault="00FF183B" w:rsidP="00FF183B">
      <w:pPr>
        <w:tabs>
          <w:tab w:val="left" w:pos="450"/>
        </w:tabs>
        <w:spacing w:after="0" w:line="240" w:lineRule="auto"/>
        <w:jc w:val="thaiDistribute"/>
        <w:rPr>
          <w:rFonts w:ascii="TH Sarabun New" w:eastAsia="Cordia New" w:hAnsi="TH Sarabun New" w:cs="TH Sarabun New"/>
          <w:sz w:val="32"/>
          <w:szCs w:val="32"/>
        </w:rPr>
      </w:pPr>
      <w:r w:rsidRPr="001401E1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ab/>
        <w:t xml:space="preserve">นักเรียนกลุ่มชาติพันธุ์ลัวะที่สำเร็จการศึกษาระดับ ปวช. </w:t>
      </w:r>
      <w:r>
        <w:rPr>
          <w:rFonts w:ascii="TH Sarabun New" w:eastAsia="Cordia New" w:hAnsi="TH Sarabun New" w:cs="TH Sarabun New" w:hint="cs"/>
          <w:sz w:val="32"/>
          <w:szCs w:val="32"/>
          <w:cs/>
        </w:rPr>
        <w:t>สามารถสร้าง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รายได้</w:t>
      </w:r>
      <w:r>
        <w:rPr>
          <w:rFonts w:ascii="TH Sarabun New" w:eastAsia="Cordia New" w:hAnsi="TH Sarabun New" w:cs="TH Sarabun New" w:hint="cs"/>
          <w:sz w:val="32"/>
          <w:szCs w:val="32"/>
          <w:cs/>
        </w:rPr>
        <w:t>จากการประกอบอาชีพ คิดเป็นรายได้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 7,567,999.14 บาท นักเรียนสามารถประหยัดค่าใช้จ่ายในครัวเรือนได้ 619,200 บาท จากการซ่อมบำรุงอุปกรณ์ภายในบ้านเอง </w:t>
      </w:r>
      <w:r>
        <w:rPr>
          <w:rFonts w:ascii="TH Sarabun New" w:eastAsia="Cordia New" w:hAnsi="TH Sarabun New" w:cs="TH Sarabun New" w:hint="cs"/>
          <w:sz w:val="32"/>
          <w:szCs w:val="32"/>
          <w:cs/>
        </w:rPr>
        <w:t>และ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ครอบครัวสามารถลดภาระในครัวเรือนได้ 2,064,000 บาท </w:t>
      </w:r>
      <w:r>
        <w:rPr>
          <w:rFonts w:ascii="TH Sarabun New" w:eastAsia="Cordia New" w:hAnsi="TH Sarabun New" w:cs="TH Sarabun New" w:hint="cs"/>
          <w:sz w:val="32"/>
          <w:szCs w:val="32"/>
          <w:cs/>
        </w:rPr>
        <w:t>ซึ่ง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ช่วยให้ครอบครัวมีรายได้สุทธิเพิ่มขึ้น ส่งผลให้คุณภาพชีวิตของครอบครัวดีขึ้น ในด้านสังคม การศึกษาระดับ ปวช. ยังช่วยเสริมสร้างความเข้มแข็งให้กับชุมชน โดยนักเรียนสามารถช่วยเหลือคนในชุมชนด้านช่างเทคนิค คิดเป็นมูลค่า 619,200 บาท และ</w:t>
      </w:r>
      <w:r>
        <w:rPr>
          <w:rFonts w:ascii="TH Sarabun New" w:eastAsia="Cordia New" w:hAnsi="TH Sarabun New" w:cs="TH Sarabun New" w:hint="cs"/>
          <w:sz w:val="32"/>
          <w:szCs w:val="32"/>
          <w:cs/>
        </w:rPr>
        <w:t>การขยาย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โอกาสทางการศึกษาแก่คนในชุมชน คิดเป็นมูลค่า 746,666.67 บาท ซึ่งช่วยให้คนในชุมชนมีโอกาสพัฒนาทักษะและความรู้ ส่งผลให้สามารถประกอบอาชีพและมีคุณภาพชีวิตที่ดีขึ้น</w:t>
      </w:r>
    </w:p>
    <w:p w14:paraId="16468005" w14:textId="77777777" w:rsidR="00FF183B" w:rsidRPr="001401E1" w:rsidRDefault="00FF183B" w:rsidP="00FF183B">
      <w:pPr>
        <w:tabs>
          <w:tab w:val="left" w:pos="450"/>
        </w:tabs>
        <w:spacing w:after="0" w:line="240" w:lineRule="auto"/>
        <w:jc w:val="thaiDistribute"/>
        <w:rPr>
          <w:rFonts w:ascii="TH Sarabun New" w:eastAsia="Cordia New" w:hAnsi="TH Sarabun New" w:cs="TH Sarabun New"/>
          <w:sz w:val="32"/>
          <w:szCs w:val="32"/>
          <w:cs/>
        </w:rPr>
      </w:pPr>
      <w:r w:rsidRPr="001401E1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ab/>
        <w:t>มูลค่าปัจจุบันของผลประโยชน์รวม (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Total Present Benefit)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อยู่ที่ 8,918,936.03 บาท มูลค่าปัจจุบันของต้นทุนรวม (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Total Present Cost)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อยู่ที่ </w:t>
      </w:r>
      <w:r w:rsidRPr="001401E1">
        <w:rPr>
          <w:rFonts w:ascii="TH Sarabun New" w:hAnsi="TH Sarabun New" w:cs="TH Sarabun New"/>
          <w:sz w:val="32"/>
          <w:szCs w:val="32"/>
          <w:cs/>
        </w:rPr>
        <w:t>3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342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024.15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บาท มูลค่าปัจจุบันของผลกระทบกรณีฐาน (</w:t>
      </w:r>
      <w:r w:rsidRPr="001401E1">
        <w:rPr>
          <w:rFonts w:ascii="TH Sarabun New" w:eastAsia="Cordia New" w:hAnsi="TH Sarabun New" w:cs="TH Sarabun New"/>
          <w:sz w:val="32"/>
          <w:szCs w:val="32"/>
        </w:rPr>
        <w:t>Total Present Base Case Impact)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 อยู่ที่ </w:t>
      </w:r>
      <w:r w:rsidRPr="001401E1">
        <w:rPr>
          <w:rFonts w:ascii="TH Sarabun New" w:hAnsi="TH Sarabun New" w:cs="TH Sarabun New"/>
          <w:sz w:val="32"/>
          <w:szCs w:val="32"/>
          <w:cs/>
        </w:rPr>
        <w:t>3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>465</w:t>
      </w:r>
      <w:r w:rsidRPr="001401E1">
        <w:rPr>
          <w:rFonts w:ascii="TH Sarabun New" w:hAnsi="TH Sarabun New" w:cs="TH Sarabun New"/>
          <w:sz w:val="32"/>
          <w:szCs w:val="32"/>
        </w:rPr>
        <w:t>,</w:t>
      </w:r>
      <w:r w:rsidRPr="001401E1">
        <w:rPr>
          <w:rFonts w:ascii="TH Sarabun New" w:hAnsi="TH Sarabun New" w:cs="TH Sarabun New"/>
          <w:sz w:val="32"/>
          <w:szCs w:val="32"/>
          <w:cs/>
        </w:rPr>
        <w:t xml:space="preserve">739.31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บาท และมูลค่าผลประโยชน์ปัจจุบันสุทธิของโครงการ (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Net Present Value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หรือ 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NPV)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อยู่ที่ 2,111,172.56 บาท ผลการวิเคราะห์ชี้ให้เห็นว่าโครงการนี้มีความคุ้มค่าในการลงทุน โดยผลตอบแทนทางสังคมจากการลงทุน (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SROI)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เท่ากับ 1.63 เท่า หมายความว่า ทุกๆ 1 บาทที่ลงทุนใน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lastRenderedPageBreak/>
        <w:t>โครงการนี้ จะได้รับผลตอบแทนทางสังคมกลับมา 1.63 บาท อัตราผลตอบแทนภายใน (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IRR)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 xml:space="preserve">ของโครงการอยู่ที่ 20.40% ซึ่งสูงกว่าอัตราคิดลดที่ใช้ในการคำนวณ </w:t>
      </w:r>
      <w:r w:rsidRPr="001401E1">
        <w:rPr>
          <w:rFonts w:ascii="TH Sarabun New" w:eastAsia="Cordia New" w:hAnsi="TH Sarabun New" w:cs="TH Sarabun New"/>
          <w:sz w:val="32"/>
          <w:szCs w:val="32"/>
        </w:rPr>
        <w:t xml:space="preserve">NPV </w:t>
      </w:r>
      <w:r w:rsidRPr="001401E1">
        <w:rPr>
          <w:rFonts w:ascii="TH Sarabun New" w:eastAsia="Cordia New" w:hAnsi="TH Sarabun New" w:cs="TH Sarabun New"/>
          <w:sz w:val="32"/>
          <w:szCs w:val="32"/>
          <w:cs/>
        </w:rPr>
        <w:t>ที่ 5.00% แสดงให้เห็นว่าโครงการนี้มีศักยภาพในการสร้างผลตอบแทนทางสังคมที่ยั่งยืน</w:t>
      </w:r>
    </w:p>
    <w:p w14:paraId="64E2C8DE" w14:textId="77777777" w:rsidR="00FF183B" w:rsidRPr="00FF183B" w:rsidRDefault="00FF183B" w:rsidP="00FF183B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14:paraId="546F1A4B" w14:textId="77777777" w:rsidR="00FF183B" w:rsidRPr="00FF183B" w:rsidRDefault="00FF183B">
      <w:pPr>
        <w:rPr>
          <w:rFonts w:ascii="TH SarabunPSK" w:hAnsi="TH SarabunPSK" w:cs="TH SarabunPSK"/>
          <w:sz w:val="32"/>
          <w:szCs w:val="32"/>
        </w:rPr>
      </w:pPr>
    </w:p>
    <w:sectPr w:rsidR="00FF183B" w:rsidRPr="00FF183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83B"/>
    <w:rsid w:val="00350BF5"/>
    <w:rsid w:val="00FF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4F2A47"/>
  <w15:chartTrackingRefBased/>
  <w15:docId w15:val="{F6E9524B-3701-495E-85C7-9F750E643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83B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183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F183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183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F183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F183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F183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30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F183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30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F183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30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F183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3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183B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F183B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183B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F183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F183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F18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F18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F18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F18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F18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F183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FF183B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F183B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FF183B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30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F18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F183B"/>
    <w:pPr>
      <w:spacing w:after="160" w:line="278" w:lineRule="auto"/>
      <w:ind w:left="720"/>
      <w:contextualSpacing/>
    </w:pPr>
    <w:rPr>
      <w:kern w:val="2"/>
      <w:sz w:val="24"/>
      <w:szCs w:val="30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F183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F18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30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F183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F183B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FF183B"/>
    <w:pPr>
      <w:spacing w:after="0" w:line="240" w:lineRule="auto"/>
    </w:pPr>
    <w:rPr>
      <w:kern w:val="0"/>
      <w:sz w:val="22"/>
      <w:szCs w:val="28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1194</Words>
  <Characters>6812</Characters>
  <Application>Microsoft Office Word</Application>
  <DocSecurity>0</DocSecurity>
  <Lines>56</Lines>
  <Paragraphs>15</Paragraphs>
  <ScaleCrop>false</ScaleCrop>
  <Company/>
  <LinksUpToDate>false</LinksUpToDate>
  <CharactersWithSpaces>7991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2025-01-16T15:44:00Z</dcterms:created>
  <dcterms:modified xsi:type="dcterms:W3CDTF">2025-01-16T15:47:00Z</dcterms:modified>
</cp:coreProperties>
</file>