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F4B82" w14:textId="77777777" w:rsidR="00E61F78" w:rsidRPr="00E61F78" w:rsidRDefault="00E61F78" w:rsidP="00E61F78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E61F78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E61F78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19EAF64D" w14:textId="58B35FD2" w:rsidR="00A71E8D" w:rsidRDefault="00E61F78" w:rsidP="00E61F7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</w:t>
      </w:r>
      <w:r w:rsidRPr="00E61F78">
        <w:rPr>
          <w:rFonts w:ascii="TH SarabunPSK" w:hAnsi="TH SarabunPSK" w:cs="TH SarabunPSK"/>
          <w:sz w:val="32"/>
          <w:szCs w:val="32"/>
          <w:cs/>
        </w:rPr>
        <w:t>การเพาะขยายพันธุ์ปลาเลียหินเพื่อปล่อยคืนสู่ธรรมชาติ</w:t>
      </w:r>
    </w:p>
    <w:p w14:paraId="294148EA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495A41">
        <w:rPr>
          <w:rFonts w:ascii="TH SarabunPSK" w:eastAsia="Calibri" w:hAnsi="TH SarabunPSK" w:cs="TH SarabunPSK"/>
          <w:color w:val="000000"/>
          <w:sz w:val="32"/>
          <w:szCs w:val="32"/>
          <w:cs/>
        </w:rPr>
        <w:t>ปลาเลียหิน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</w:t>
      </w:r>
      <w:proofErr w:type="spellStart"/>
      <w:r w:rsidRPr="00495A41">
        <w:rPr>
          <w:rFonts w:ascii="TH SarabunPSK" w:eastAsia="Calibri" w:hAnsi="TH SarabunPSK" w:cs="TH SarabunPSK"/>
          <w:i/>
          <w:iCs/>
          <w:color w:val="000000"/>
          <w:sz w:val="32"/>
          <w:szCs w:val="32"/>
        </w:rPr>
        <w:t>Garra</w:t>
      </w:r>
      <w:proofErr w:type="spellEnd"/>
      <w:r w:rsidRPr="00495A41">
        <w:rPr>
          <w:rFonts w:ascii="TH SarabunPSK" w:eastAsia="Calibri" w:hAnsi="TH SarabunPSK" w:cs="TH SarabunPSK"/>
          <w:i/>
          <w:iCs/>
          <w:color w:val="000000"/>
          <w:sz w:val="32"/>
          <w:szCs w:val="32"/>
        </w:rPr>
        <w:t xml:space="preserve"> </w:t>
      </w:r>
      <w:proofErr w:type="spellStart"/>
      <w:r w:rsidRPr="00495A41">
        <w:rPr>
          <w:rFonts w:ascii="TH SarabunPSK" w:eastAsia="Calibri" w:hAnsi="TH SarabunPSK" w:cs="TH SarabunPSK"/>
          <w:i/>
          <w:iCs/>
          <w:color w:val="000000"/>
          <w:sz w:val="32"/>
          <w:szCs w:val="32"/>
        </w:rPr>
        <w:t>cambodgiensis</w:t>
      </w:r>
      <w:proofErr w:type="spellEnd"/>
      <w:r w:rsidRPr="00495A41">
        <w:rPr>
          <w:rFonts w:ascii="TH SarabunPSK" w:eastAsia="Calibri" w:hAnsi="TH SarabunPSK" w:cs="TH SarabunPSK"/>
          <w:color w:val="000000"/>
          <w:sz w:val="32"/>
          <w:szCs w:val="32"/>
        </w:rPr>
        <w:t xml:space="preserve"> (</w:t>
      </w:r>
      <w:proofErr w:type="spellStart"/>
      <w:r w:rsidRPr="00495A41">
        <w:rPr>
          <w:rFonts w:ascii="TH SarabunPSK" w:eastAsia="Calibri" w:hAnsi="TH SarabunPSK" w:cs="TH SarabunPSK"/>
          <w:color w:val="000000"/>
          <w:sz w:val="32"/>
          <w:szCs w:val="32"/>
        </w:rPr>
        <w:t>Tirant</w:t>
      </w:r>
      <w:proofErr w:type="spellEnd"/>
      <w:r w:rsidRPr="00495A41">
        <w:rPr>
          <w:rFonts w:ascii="TH SarabunPSK" w:eastAsia="Calibri" w:hAnsi="TH SarabunPSK" w:cs="TH SarabunPSK"/>
          <w:color w:val="000000"/>
          <w:sz w:val="32"/>
          <w:szCs w:val="32"/>
        </w:rPr>
        <w:t xml:space="preserve">, </w:t>
      </w:r>
      <w:r w:rsidRPr="00495A41">
        <w:rPr>
          <w:rFonts w:ascii="TH SarabunPSK" w:eastAsia="Calibri" w:hAnsi="TH SarabunPSK" w:cs="TH SarabunPSK"/>
          <w:color w:val="000000"/>
          <w:sz w:val="32"/>
          <w:szCs w:val="32"/>
          <w:cs/>
        </w:rPr>
        <w:t>1884)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มีชื่อเรียกในท้องถิ่นว่า “ปลามัน” เป็นปลาที่ชาวบ้านนิยมจับมากินเนื่องจากเป็นปลาที่มีขนาดเล็ก มี</w:t>
      </w:r>
      <w:r w:rsidRPr="00495A41">
        <w:rPr>
          <w:rFonts w:ascii="TH SarabunPSK" w:eastAsia="Calibri" w:hAnsi="TH SarabunPSK" w:cs="TH SarabunPSK"/>
          <w:color w:val="000000"/>
          <w:sz w:val="32"/>
          <w:szCs w:val="32"/>
          <w:cs/>
        </w:rPr>
        <w:t>รสชาติทีมัน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สามารถบริโภคได้ทั้งตัว ปลาชนิดนี้จะผสมพันธุ์และวางไข่ในนาข้าวในช่วงเดือน มิ.ย.-ก.ค. ในช่วงเวลาที่ปลาชนิดนี้ว่ายขึ้นมาจากแหล่งน้ำเพื่อรวมตัวกันผสมพันธุ์ ชาวบ้านจะมีการจับเพราะจับได้ง่าย มีราคาที่ค่อนข้างสูง(350-1000 บาท/กก.) ด้วยเหตุนี้ปลามันจึงมีจำนวนที่ลดลงเนื่องจากการจับในฤดูวางไข่</w:t>
      </w:r>
    </w:p>
    <w:p w14:paraId="48971086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มจธ.และเครือข่ายการทำงานจาก มทร.ล้านนา น่าน จึงได้เริ่มมีการศึกษาการเพาะเลี้ยงปลามันเชิงระบบ เพื่อหา</w:t>
      </w:r>
      <w:r w:rsidRPr="00E61F78">
        <w:rPr>
          <w:rFonts w:ascii="TH SarabunPSK" w:eastAsia="Calibri" w:hAnsi="TH SarabunPSK" w:cs="TH SarabunPSK" w:hint="cs"/>
          <w:sz w:val="32"/>
          <w:szCs w:val="32"/>
          <w:cs/>
        </w:rPr>
        <w:t xml:space="preserve">ความเป็นไปได้ในเชิงธุรกิจ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ได้เริ่มการศึกษาตั้งแต่ พ.ศ.2559 มีผลการดำเนินงาน ดังนี้</w:t>
      </w:r>
    </w:p>
    <w:p w14:paraId="6661C483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ปี 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2559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ทดลองเพาะพันธุ์ปลาเลียหินและอนุบาลลูกปลาโดยใช้ไข่แดงต้มสุกเป็นอาหาร ผลพบว่าลูกปลาตายทั้งหมดในช่วง 14 วันแรก ไม่สามารถหาสาเหตุการตายได้</w:t>
      </w:r>
    </w:p>
    <w:p w14:paraId="4FBCBBA4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ปี 2560 ทดลองเปรียบเทียบชนิดอาหาร 2 ชนิด ระหว่างไข่แดงต้มสัก กับปลาป่น+สาหร่ายธรรมชาติ ผลพบว่าปลาที่กินปลาป่น+สาหร่ายธรรมชาติมีอัตราการรอดตาย 41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%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ส่วนปลาที่กินไข่แดงต้มสุกตายทั้งหมด</w:t>
      </w:r>
    </w:p>
    <w:p w14:paraId="16776B8E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A22601"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ปี </w:t>
      </w:r>
      <w:r w:rsidRPr="00A22601">
        <w:rPr>
          <w:rFonts w:ascii="TH SarabunPSK" w:eastAsia="Calibri" w:hAnsi="TH SarabunPSK" w:cs="TH SarabunPSK"/>
          <w:color w:val="000000"/>
          <w:sz w:val="32"/>
          <w:szCs w:val="32"/>
        </w:rPr>
        <w:t xml:space="preserve">2561 </w:t>
      </w:r>
      <w:r w:rsidRPr="00A22601"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ทำการทดลอง 2 การทดลอง 1) ทดลอง</w:t>
      </w:r>
      <w:r w:rsidRPr="00A22601">
        <w:rPr>
          <w:rFonts w:ascii="TH SarabunPSK" w:hAnsi="TH SarabunPSK" w:cs="TH SarabunPSK"/>
          <w:sz w:val="32"/>
          <w:szCs w:val="32"/>
          <w:cs/>
        </w:rPr>
        <w:t>เปรียบเทียบชนิดอาหารที่ต่างกัน 3 ชุดการทดลอง ได้แก่ ไรแดง</w:t>
      </w:r>
      <w:r w:rsidRPr="00A22601">
        <w:rPr>
          <w:rFonts w:ascii="TH SarabunPSK" w:hAnsi="TH SarabunPSK" w:cs="TH SarabunPSK"/>
          <w:sz w:val="32"/>
          <w:szCs w:val="32"/>
        </w:rPr>
        <w:t>,</w:t>
      </w:r>
      <w:r w:rsidRPr="00A22601">
        <w:rPr>
          <w:rFonts w:ascii="TH SarabunPSK" w:hAnsi="TH SarabunPSK" w:cs="TH SarabunPSK"/>
          <w:sz w:val="32"/>
          <w:szCs w:val="32"/>
          <w:cs/>
        </w:rPr>
        <w:t xml:space="preserve"> อาหารผงสำเร็จรูป</w:t>
      </w:r>
      <w:r w:rsidRPr="00A22601">
        <w:rPr>
          <w:rFonts w:ascii="TH SarabunPSK" w:hAnsi="TH SarabunPSK" w:cs="TH SarabunPSK"/>
          <w:sz w:val="32"/>
          <w:szCs w:val="32"/>
        </w:rPr>
        <w:t>,</w:t>
      </w:r>
      <w:r w:rsidRPr="00A22601">
        <w:rPr>
          <w:rFonts w:ascii="TH SarabunPSK" w:hAnsi="TH SarabunPSK" w:cs="TH SarabunPSK"/>
          <w:sz w:val="32"/>
          <w:szCs w:val="32"/>
          <w:cs/>
        </w:rPr>
        <w:t xml:space="preserve"> และอาหารผงสำเร็จรูปเสริมไรแดง ผลพบว่าการทดลองที่ให้อาหารผงสำเร็จรูป เสริมไรแดงมีอัตราการรอดตายสูงสุด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22601">
        <w:rPr>
          <w:rFonts w:ascii="TH SarabunPSK" w:hAnsi="TH SarabunPSK" w:cs="TH SarabunPSK"/>
          <w:sz w:val="32"/>
          <w:szCs w:val="32"/>
          <w:cs/>
        </w:rPr>
        <w:t>(</w:t>
      </w:r>
      <w:r w:rsidRPr="00A22601">
        <w:rPr>
          <w:rFonts w:ascii="TH SarabunPSK" w:hAnsi="TH SarabunPSK" w:cs="TH SarabunPSK"/>
          <w:sz w:val="32"/>
          <w:szCs w:val="32"/>
        </w:rPr>
        <w:t>80%</w:t>
      </w:r>
      <w:r w:rsidRPr="00A22601">
        <w:rPr>
          <w:rFonts w:ascii="TH SarabunPSK" w:hAnsi="TH SarabunPSK" w:cs="TH SarabunPSK"/>
          <w:sz w:val="32"/>
          <w:szCs w:val="32"/>
          <w:cs/>
        </w:rPr>
        <w:t>) ไรแดง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22601">
        <w:rPr>
          <w:rFonts w:ascii="TH SarabunPSK" w:hAnsi="TH SarabunPSK" w:cs="TH SarabunPSK"/>
          <w:sz w:val="32"/>
          <w:szCs w:val="32"/>
          <w:cs/>
        </w:rPr>
        <w:t>(74</w:t>
      </w:r>
      <w:r w:rsidRPr="00A22601">
        <w:rPr>
          <w:rFonts w:ascii="TH SarabunPSK" w:hAnsi="TH SarabunPSK" w:cs="TH SarabunPSK"/>
          <w:sz w:val="32"/>
          <w:szCs w:val="32"/>
        </w:rPr>
        <w:t>%</w:t>
      </w:r>
      <w:r w:rsidRPr="00A22601">
        <w:rPr>
          <w:rFonts w:ascii="TH SarabunPSK" w:hAnsi="TH SarabunPSK" w:cs="TH SarabunPSK"/>
          <w:sz w:val="32"/>
          <w:szCs w:val="32"/>
          <w:cs/>
        </w:rPr>
        <w:t>) และอาหารผงสำเร็จรูป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22601">
        <w:rPr>
          <w:rFonts w:ascii="TH SarabunPSK" w:hAnsi="TH SarabunPSK" w:cs="TH SarabunPSK"/>
          <w:sz w:val="32"/>
          <w:szCs w:val="32"/>
          <w:cs/>
        </w:rPr>
        <w:t>(72</w:t>
      </w:r>
      <w:r w:rsidRPr="00A22601">
        <w:rPr>
          <w:rFonts w:ascii="TH SarabunPSK" w:hAnsi="TH SarabunPSK" w:cs="TH SarabunPSK"/>
          <w:sz w:val="32"/>
          <w:szCs w:val="32"/>
        </w:rPr>
        <w:t>%</w:t>
      </w:r>
      <w:r w:rsidRPr="00A22601">
        <w:rPr>
          <w:rFonts w:ascii="TH SarabunPSK" w:hAnsi="TH SarabunPSK" w:cs="TH SarabunPSK"/>
          <w:sz w:val="32"/>
          <w:szCs w:val="32"/>
          <w:cs/>
        </w:rPr>
        <w:t>)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2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) ทดลอง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>เปรียบเทียบความหนาแน่นที่มีผลต่ออัตราการรอดตายของลูกปลา เป็นระยะเวลา 20 วัน ด้วยความหนาแน่น 450 900 1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</w:rPr>
        <w:t>,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>350 ตัว/ตู้ ผลพบว่าลูกปลามีอัตราการรอดตายที่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68.4% 64.8%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และ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62%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ตามลำดับ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ซึ่งจะมีความผกผันไปตามความหนาแน่นที่เพิ่มขึ้น แต่ยังไม่สามารถสรุปในทางสถิติได้เนื่องจากทั้ง 3 ชุดการทดลองไม่ได้ทำการทดลองซ้ำ</w:t>
      </w:r>
    </w:p>
    <w:p w14:paraId="7E65EC6A" w14:textId="77777777" w:rsidR="00E61F78" w:rsidRDefault="00E61F78" w:rsidP="00E61F78">
      <w:pPr>
        <w:spacing w:after="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ปี 2562 ทำการทดลอง 2 การทดลอง 1) 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>ศึกษาอัตราการรอดตายของลูกปลาเลียหินที่ความหนาแน่น 450 ตัวต่อตู้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(75*45*50 ซม.)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ผลการทดลองพบว่าลูกปลามีอัตราการรอดตาย 74%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2) </w:t>
      </w:r>
      <w:r w:rsidRPr="00F05799">
        <w:rPr>
          <w:rFonts w:ascii="TH SarabunPSK" w:eastAsia="Calibri" w:hAnsi="TH SarabunPSK" w:cs="TH SarabunPSK"/>
          <w:color w:val="000000"/>
          <w:sz w:val="32"/>
          <w:szCs w:val="32"/>
          <w:cs/>
        </w:rPr>
        <w:t>ทดลองศึกษาอัตราการเจริญเติบโตของปลาเลียหินในบ่อซีเมนต์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เลี้ยงในเชิงธุรกิจ (2562-2564) ผลพบว่าเลี้ยงปลาอายุครบรอบ 1 ปี </w:t>
      </w:r>
      <w:r w:rsidRPr="00E21FB1">
        <w:rPr>
          <w:rFonts w:ascii="TH SarabunPSK" w:eastAsia="Calibri" w:hAnsi="TH SarabunPSK" w:cs="TH SarabunPSK"/>
          <w:color w:val="000000"/>
          <w:sz w:val="32"/>
          <w:szCs w:val="32"/>
          <w:cs/>
        </w:rPr>
        <w:t>ปลามีลักษณะเหมือนปลาโตเต็มวัย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น้ำหนักเฉลี่ย 5 กรัม (แต่ตัวเล็กกว่าธรรมชาติมาก) เลี้ยงต่อไปจบอายุครบ 2 ปี </w:t>
      </w:r>
      <w:r w:rsidRPr="00E21FB1">
        <w:rPr>
          <w:rFonts w:ascii="TH SarabunPSK" w:eastAsia="Calibri" w:hAnsi="TH SarabunPSK" w:cs="TH SarabunPSK"/>
          <w:color w:val="000000"/>
          <w:sz w:val="32"/>
          <w:szCs w:val="32"/>
          <w:cs/>
        </w:rPr>
        <w:t>ปลามีไข่พร้อมผสมพันธุ์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น้ำหนักเฉี่ย 12 กรัม อาจารย์สาขาประมง มหาวิทยาลัยแม่โจ้ ให้ความคิดเห็นว่าชนิดอาหารอาจจะยังไม่เหมาะสมกับชนิดปลาจึงทำให้มีการเจริญเติบโตที่ช้า</w:t>
      </w:r>
    </w:p>
    <w:p w14:paraId="272BA9CD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ปี 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2563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ทำการเพาะพันธุ์และอนุบาลลูกปลา ได้อัตราการรอดตาย 75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%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ร่วมกับชาวบ้านชุมชนบ้านบ่อหลวงและบ้านผาคับ ในเขตอำเภอบ่อเกลือ ปล่อยคืนสู่แหล่งน้ำธรรมชาติ จำนวน 100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,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000 ตัว </w:t>
      </w:r>
    </w:p>
    <w:p w14:paraId="511DEAB9" w14:textId="77777777" w:rsidR="00E61F78" w:rsidRDefault="00E61F78" w:rsidP="00E61F78">
      <w:pPr>
        <w:spacing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จากการนำทักษะและองค์ความรู้เรื่องการเพาะเลี้ยงปลาเลียหินมาขยายผลต่อด้วยการเพาะพันธุ์ปลาเลียหินปล่อยคืนสู่แหล่งน้ำธรรมชาติเพื่อเพิ่มจำนวนประชากรของปลาเลียหินในแหล่งน้ำธรรมชาติ อำเภอบ่อเกลือ จังหวัดน่านในปี 2563 ทางเทศบาลตำบลบ่อเกลือใต้ได้ตระหนักและได้เห็นความสำคัญของการเพิ่มจำนวนประชากรปลาเลียหิน ในปี 2654 จึงได้เริ่มสนับสนุนงบประมาณในการดำเนินโครงการ</w:t>
      </w:r>
      <w:r w:rsidRPr="00074B85">
        <w:rPr>
          <w:rFonts w:ascii="TH SarabunPSK" w:hAnsi="TH SarabunPSK" w:cs="TH SarabunPSK"/>
          <w:sz w:val="32"/>
          <w:szCs w:val="32"/>
          <w:cs/>
        </w:rPr>
        <w:t>เพาะพันธุ์ปลาเลียหินเพื่อปล่อยคืนสู่แหล่งน้ำธรรมชาติ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เป็นจำนวนเงิน 11</w:t>
      </w:r>
      <w:r>
        <w:rPr>
          <w:rFonts w:ascii="TH SarabunPSK" w:hAnsi="TH SarabunPSK" w:cs="TH SarabunPSK"/>
          <w:sz w:val="32"/>
          <w:szCs w:val="32"/>
        </w:rPr>
        <w:t>,</w:t>
      </w:r>
      <w:r>
        <w:rPr>
          <w:rFonts w:ascii="TH SarabunPSK" w:hAnsi="TH SarabunPSK" w:cs="TH SarabunPSK" w:hint="cs"/>
          <w:sz w:val="32"/>
          <w:szCs w:val="32"/>
          <w:cs/>
        </w:rPr>
        <w:t>000 บาท ในการดำเนินงาน มจธ.พื้นที่จังหวัดน่าน ได้ร่วมกับเทศบาลบ่อเกลือใต้ มหาวิทยาลัยเทคโนโลยีราชมงคลล้านนา น่าน ชุมชนบ้านบ่อหลวง ชุมชนบ้านผาคับ และชุมชนบ้านนาคอก ในการจับพ่อแม่พันธุ์ปลาจากแหล่งน้ำธรรมชาติมาเพาะพันธุ์และอนุบาลลูกปลาเป็นระยะเวลา 20 วัน ก่อนปล่อยคืนสู่แหล่งน้ำธรรมชาติ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(ลำน้ำมาง) จำนวน 250</w:t>
      </w:r>
      <w:r>
        <w:rPr>
          <w:rFonts w:ascii="TH SarabunPSK" w:hAnsi="TH SarabunPSK" w:cs="TH SarabunPSK"/>
          <w:sz w:val="32"/>
          <w:szCs w:val="32"/>
        </w:rPr>
        <w:t xml:space="preserve">,000 </w:t>
      </w:r>
      <w:r>
        <w:rPr>
          <w:rFonts w:ascii="TH SarabunPSK" w:hAnsi="TH SarabunPSK" w:cs="TH SarabunPSK" w:hint="cs"/>
          <w:sz w:val="32"/>
          <w:szCs w:val="32"/>
          <w:cs/>
        </w:rPr>
        <w:t>ตัว ในช่วงเดือนสิงหาคม</w:t>
      </w:r>
    </w:p>
    <w:p w14:paraId="03C29F77" w14:textId="77777777" w:rsidR="00E61F78" w:rsidRPr="006372BA" w:rsidRDefault="00E61F78" w:rsidP="00E61F78">
      <w:pPr>
        <w:spacing w:after="0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14:paraId="5C6C4D0E" w14:textId="77777777" w:rsidR="00E61F78" w:rsidRPr="003909D7" w:rsidRDefault="00E61F78" w:rsidP="00E61F78">
      <w:pPr>
        <w:pStyle w:val="NoSpacing"/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w:drawing>
          <wp:inline distT="0" distB="0" distL="0" distR="0" wp14:anchorId="2C517922" wp14:editId="4CA0C65F">
            <wp:extent cx="2123580" cy="1591861"/>
            <wp:effectExtent l="0" t="0" r="0" b="8890"/>
            <wp:docPr id="7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__2385516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7269" cy="1602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EE70D1E" wp14:editId="10EF133D">
            <wp:extent cx="2165230" cy="1623083"/>
            <wp:effectExtent l="0" t="0" r="698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__23855169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9408" cy="1641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D4EE19" w14:textId="77777777" w:rsidR="00E61F78" w:rsidRPr="006660B4" w:rsidRDefault="00E61F78" w:rsidP="00E61F78">
      <w:pPr>
        <w:pStyle w:val="NoSpacing"/>
        <w:jc w:val="center"/>
        <w:rPr>
          <w:rFonts w:ascii="TH SarabunPSK" w:hAnsi="TH SarabunPSK" w:cs="TH SarabunPSK"/>
          <w:sz w:val="28"/>
          <w:cs/>
        </w:rPr>
      </w:pPr>
      <w:r w:rsidRPr="001A6E5F">
        <w:rPr>
          <w:rFonts w:ascii="TH SarabunPSK" w:hAnsi="TH SarabunPSK" w:cs="TH SarabunPSK"/>
          <w:noProof/>
          <w:sz w:val="28"/>
          <w:cs/>
        </w:rPr>
        <w:drawing>
          <wp:inline distT="0" distB="0" distL="0" distR="0" wp14:anchorId="3EC1CEBF" wp14:editId="2C254915">
            <wp:extent cx="1431969" cy="1080000"/>
            <wp:effectExtent l="0" t="0" r="0" b="0"/>
            <wp:docPr id="7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69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E5F">
        <w:rPr>
          <w:rFonts w:ascii="TH SarabunPSK" w:hAnsi="TH SarabunPSK" w:cs="TH SarabunPSK"/>
          <w:noProof/>
          <w:sz w:val="28"/>
          <w:cs/>
        </w:rPr>
        <w:drawing>
          <wp:inline distT="0" distB="0" distL="0" distR="0" wp14:anchorId="2D718059" wp14:editId="7655A860">
            <wp:extent cx="1440532" cy="1080000"/>
            <wp:effectExtent l="0" t="0" r="0" b="0"/>
            <wp:docPr id="75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53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E5F">
        <w:rPr>
          <w:rFonts w:ascii="TH SarabunPSK" w:hAnsi="TH SarabunPSK" w:cs="TH SarabunPSK"/>
          <w:noProof/>
          <w:sz w:val="28"/>
          <w:cs/>
        </w:rPr>
        <w:drawing>
          <wp:inline distT="0" distB="0" distL="0" distR="0" wp14:anchorId="4F29671B" wp14:editId="026556F2">
            <wp:extent cx="1440532" cy="1080000"/>
            <wp:effectExtent l="0" t="0" r="0" b="0"/>
            <wp:docPr id="76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53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E5F">
        <w:rPr>
          <w:rFonts w:ascii="TH SarabunPSK" w:hAnsi="TH SarabunPSK" w:cs="TH SarabunPSK"/>
          <w:noProof/>
          <w:sz w:val="28"/>
          <w:cs/>
        </w:rPr>
        <w:drawing>
          <wp:inline distT="0" distB="0" distL="0" distR="0" wp14:anchorId="04C5371E" wp14:editId="1CE02C08">
            <wp:extent cx="1440532" cy="1080000"/>
            <wp:effectExtent l="0" t="0" r="0" b="0"/>
            <wp:docPr id="7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53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/>
          <w:noProof/>
          <w:sz w:val="28"/>
        </w:rPr>
        <w:drawing>
          <wp:inline distT="0" distB="0" distL="0" distR="0" wp14:anchorId="5F05E6DE" wp14:editId="0076B78B">
            <wp:extent cx="1446679" cy="1080000"/>
            <wp:effectExtent l="0" t="0" r="0" b="0"/>
            <wp:docPr id="7183" name="Picture 7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679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/>
          <w:noProof/>
          <w:sz w:val="28"/>
        </w:rPr>
        <w:drawing>
          <wp:inline distT="0" distB="0" distL="0" distR="0" wp14:anchorId="656C060B" wp14:editId="7C30B6D3">
            <wp:extent cx="815434" cy="1080000"/>
            <wp:effectExtent l="0" t="0" r="0" b="0"/>
            <wp:docPr id="78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434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/>
          <w:noProof/>
          <w:sz w:val="28"/>
        </w:rPr>
        <w:drawing>
          <wp:inline distT="0" distB="0" distL="0" distR="0" wp14:anchorId="73E2B85B" wp14:editId="5BC77710">
            <wp:extent cx="815434" cy="1080000"/>
            <wp:effectExtent l="0" t="0" r="0" b="0"/>
            <wp:docPr id="79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434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BF1105" w14:textId="67054944" w:rsidR="00E61F78" w:rsidRPr="00787B48" w:rsidRDefault="00E61F78" w:rsidP="00E61F78">
      <w:pPr>
        <w:jc w:val="center"/>
      </w:pPr>
      <w:r w:rsidRPr="00787B48"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>รูป</w:t>
      </w:r>
      <w:r w:rsidRPr="00787B48">
        <w:rPr>
          <w:rFonts w:ascii="TH SarabunPSK" w:eastAsia="Times New Roman" w:hAnsi="TH SarabunPSK" w:cs="TH SarabunPSK"/>
          <w:noProof/>
          <w:sz w:val="32"/>
          <w:szCs w:val="32"/>
        </w:rPr>
        <w:t xml:space="preserve"> </w:t>
      </w:r>
      <w:r w:rsidRPr="00787B48"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>กิจกรรมการเพาะพันธุ์ปลาเลียหิน</w:t>
      </w:r>
      <w:r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 xml:space="preserve">เพื่อปล่อยลงแหล่งน้ำธรรมชาติในพื้นที่อำเภอบ่อเกลือ ปี </w:t>
      </w:r>
      <w:r>
        <w:rPr>
          <w:rFonts w:ascii="TH SarabunPSK" w:eastAsia="Times New Roman" w:hAnsi="TH SarabunPSK" w:cs="TH SarabunPSK"/>
          <w:noProof/>
          <w:sz w:val="32"/>
          <w:szCs w:val="32"/>
        </w:rPr>
        <w:t>2564</w:t>
      </w:r>
    </w:p>
    <w:p w14:paraId="5CFCC1C9" w14:textId="77777777" w:rsidR="00E61F78" w:rsidRDefault="00E61F78" w:rsidP="00E61F78">
      <w:pPr>
        <w:jc w:val="center"/>
        <w:rPr>
          <w:cs/>
        </w:rPr>
      </w:pPr>
    </w:p>
    <w:p w14:paraId="67A3151B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</w:p>
    <w:p w14:paraId="766DABE2" w14:textId="382CBFD2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  <w:cs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lastRenderedPageBreak/>
        <w:t>ปี 256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5-2566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 ยังได้รับการสนับสนุนวัสดุอุปกรณ์อย่างต่อเนื่อง จากเทศบาลตำบลบ่อเกลือใต้ และร่วมกันเพาะพันธุ์ปลาเลียหินเพื่อปล่อยคืนสู่แหล่งน้ำธรรมชาติ ในเขตลุ่มแม่น้ำมาง มีจำนวนปลาที่ปล่อยปีละ  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3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00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,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000 ตัว</w:t>
      </w:r>
    </w:p>
    <w:p w14:paraId="6867FFB3" w14:textId="77777777" w:rsidR="00E61F78" w:rsidRDefault="00E61F78" w:rsidP="00E61F78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  <w:cs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ในการเพาะพันธุ์ปลาเลียหินเพื่อปล่อยคืนแหล่งน้ำธรรมชาติ มจธ. ได้มีการตั้งเป้าหมายในการดำเนินงานร่วมกับเทศบาลบ่อเกลือใต้ในทุกๆ ปี เพื่อเป็นการเพิ่มจำนวนประชากรให้มากขึ้น จะได้เป็นแหล่งอาหารสำหรับชาวบ้านในเขตแม่น้ำมางและพื้นที่ใกล้เคียง โดยที่ มจธ.จะเป็นฝ่ายให้ความรู้ ฝึกปฏิบัติให้กับชาวบ้าน บุคลากรจากหน่วยงานต่างๆ รวมไปถึงเด็กนักเรียนในระแวกไกล้เคียงที่เกิดความสนใจ ภายใต้การสนับสนุนของทางเทศบาลตำบลบ่อเกลือใต้</w:t>
      </w:r>
    </w:p>
    <w:p w14:paraId="78C966F1" w14:textId="77777777" w:rsidR="00E61F78" w:rsidRPr="00EC111C" w:rsidRDefault="00E61F78" w:rsidP="00E61F78">
      <w:pPr>
        <w:spacing w:after="0"/>
        <w:jc w:val="thaiDistribute"/>
        <w:rPr>
          <w:rFonts w:ascii="TH SarabunPSK" w:eastAsia="Calibri" w:hAnsi="TH SarabunPSK" w:cs="TH SarabunPSK"/>
          <w:color w:val="000000"/>
          <w:sz w:val="32"/>
          <w:szCs w:val="32"/>
          <w:cs/>
        </w:rPr>
      </w:pPr>
    </w:p>
    <w:p w14:paraId="617F217C" w14:textId="77777777" w:rsidR="00E61F78" w:rsidRPr="00EC111C" w:rsidRDefault="00E61F78" w:rsidP="00E61F78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</w:pP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0E2F9255" wp14:editId="520D8179">
            <wp:extent cx="1260000" cy="1470208"/>
            <wp:effectExtent l="9207" t="0" r="6668" b="6667"/>
            <wp:docPr id="698110268" name="รูปภาพ 14" descr="รูปภาพประกอบด้วย ปลาเทราท์, ปลา, ผลิตภัณฑ์ปลา, จัดขึ้น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8110268" name="รูปภาพ 14" descr="รูปภาพประกอบด้วย ปลาเทราท์, ปลา, ผลิตภัณฑ์ปลา, จัดขึ้น&#10;&#10;คำอธิบายที่สร้างโดยอัตโนมัติ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1260000" cy="14702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6B2CDA71" wp14:editId="32C518F0">
            <wp:extent cx="1507330" cy="1260000"/>
            <wp:effectExtent l="0" t="0" r="0" b="0"/>
            <wp:docPr id="272145726" name="รูปภาพ 11" descr="รูปภาพประกอบด้วย เสื้อผ้า, คน, กลางแจ้ง, พื้น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145726" name="รูปภาพ 11" descr="รูปภาพประกอบด้วย เสื้อผ้า, คน, กลางแจ้ง, พื้น&#10;&#10;คำอธิบายที่สร้างโดยอัตโนมัติ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07330" cy="126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4E5A7AA4" wp14:editId="001FBC0D">
            <wp:extent cx="1520190" cy="1259798"/>
            <wp:effectExtent l="0" t="0" r="3810" b="0"/>
            <wp:docPr id="2000992620" name="รูปภาพ 16" descr="รูปภาพประกอบด้วย คน, น้ำ, การซัก, กรรไก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0992620" name="รูปภาพ 16" descr="รูปภาพประกอบด้วย คน, น้ำ, การซัก, กรรไกร&#10;&#10;คำอธิบายที่สร้างโดยอัตโนมัติ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20434" cy="126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5C7DE35C" wp14:editId="648839CE">
            <wp:extent cx="1411605" cy="1258753"/>
            <wp:effectExtent l="0" t="0" r="0" b="0"/>
            <wp:docPr id="497289878" name="รูปภาพ 17" descr="รูปภาพประกอบด้วย สีน้ำเงิน, กลางแจ้ง, โต๊ะปิงปอง, พื้น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289878" name="รูปภาพ 17" descr="รูปภาพประกอบด้วย สีน้ำเงิน, กลางแจ้ง, โต๊ะปิงปอง, พื้น&#10;&#10;คำอธิบายที่สร้างโดยอัตโนมัติ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413004" cy="126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sz w:val="32"/>
          <w:szCs w:val="32"/>
        </w:rPr>
        <w:t xml:space="preserve"> </w:t>
      </w:r>
      <w:r w:rsidRPr="00EC111C">
        <w:rPr>
          <w:rFonts w:ascii="TH SarabunPSK" w:eastAsia="Calibri" w:hAnsi="TH SarabunPSK" w:cs="TH SarabunPSK"/>
          <w:noProof/>
          <w:sz w:val="32"/>
          <w:szCs w:val="32"/>
        </w:rPr>
        <w:drawing>
          <wp:inline distT="0" distB="0" distL="0" distR="0" wp14:anchorId="591E85F3" wp14:editId="0305AD9F">
            <wp:extent cx="1776000" cy="1332000"/>
            <wp:effectExtent l="0" t="0" r="0" b="1905"/>
            <wp:docPr id="1704454915" name="รูปภาพ 13" descr="รูปภาพประกอบด้วย กลางแจ้ง, คน, เสื้อผ้า, น้ำ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454915" name="รูปภาพ 13" descr="รูปภาพประกอบด้วย กลางแจ้ง, คน, เสื้อผ้า, น้ำ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6000" cy="133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sz w:val="32"/>
          <w:szCs w:val="32"/>
        </w:rPr>
        <w:drawing>
          <wp:inline distT="0" distB="0" distL="0" distR="0" wp14:anchorId="0BE26749" wp14:editId="07A109AE">
            <wp:extent cx="1685383" cy="1332000"/>
            <wp:effectExtent l="0" t="0" r="0" b="1905"/>
            <wp:docPr id="890309910" name="รูปภาพ 15" descr="รูปภาพประกอบด้วย คน, เสื้อผ้า, ใบหน้าของมนุษย์, กลางแจ้ง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0309910" name="รูปภาพ 15" descr="รูปภาพประกอบด้วย คน, เสื้อผ้า, ใบหน้าของมนุษย์, กลางแจ้ง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85383" cy="133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sz w:val="32"/>
          <w:szCs w:val="32"/>
        </w:rPr>
        <w:drawing>
          <wp:inline distT="0" distB="0" distL="0" distR="0" wp14:anchorId="47FD1E7C" wp14:editId="5487542A">
            <wp:extent cx="2418328" cy="1332000"/>
            <wp:effectExtent l="0" t="0" r="1270" b="1905"/>
            <wp:docPr id="1598957296" name="รูปภาพ 18" descr="รูปภาพประกอบด้วย ข้อความ, ปลูก, ภาพหน้าจอ, กลางแจ้ง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8957296" name="รูปภาพ 18" descr="รูปภาพประกอบด้วย ข้อความ, ปลูก, ภาพหน้าจอ, กลางแจ้ง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418328" cy="133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5348EA7" w14:textId="1B1BA0F4" w:rsidR="00E61F78" w:rsidRPr="00787B48" w:rsidRDefault="00E61F78" w:rsidP="00E61F78">
      <w:pPr>
        <w:jc w:val="center"/>
      </w:pPr>
      <w:r w:rsidRPr="00787B48"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>รูป</w:t>
      </w:r>
      <w:r w:rsidRPr="00787B48">
        <w:rPr>
          <w:rFonts w:ascii="TH SarabunPSK" w:eastAsia="Times New Roman" w:hAnsi="TH SarabunPSK" w:cs="TH SarabunPSK"/>
          <w:noProof/>
          <w:sz w:val="32"/>
          <w:szCs w:val="32"/>
        </w:rPr>
        <w:t xml:space="preserve"> </w:t>
      </w:r>
      <w:r w:rsidRPr="00787B48"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>กิจกรรมการเพาะพันธุ์ปลายเลียหิน</w:t>
      </w:r>
      <w:r>
        <w:rPr>
          <w:rFonts w:ascii="TH SarabunPSK" w:eastAsia="Times New Roman" w:hAnsi="TH SarabunPSK" w:cs="TH SarabunPSK" w:hint="cs"/>
          <w:noProof/>
          <w:sz w:val="32"/>
          <w:szCs w:val="32"/>
          <w:cs/>
        </w:rPr>
        <w:t xml:space="preserve"> ปี </w:t>
      </w:r>
      <w:r>
        <w:rPr>
          <w:rFonts w:ascii="TH SarabunPSK" w:eastAsia="Times New Roman" w:hAnsi="TH SarabunPSK" w:cs="TH SarabunPSK"/>
          <w:noProof/>
          <w:sz w:val="32"/>
          <w:szCs w:val="32"/>
        </w:rPr>
        <w:t>2566</w:t>
      </w:r>
    </w:p>
    <w:p w14:paraId="0397AA69" w14:textId="77777777" w:rsidR="00E61F78" w:rsidRPr="00E61F78" w:rsidRDefault="00E61F78">
      <w:pPr>
        <w:rPr>
          <w:rFonts w:ascii="TH SarabunPSK" w:hAnsi="TH SarabunPSK" w:cs="TH SarabunPSK" w:hint="cs"/>
          <w:sz w:val="32"/>
          <w:szCs w:val="32"/>
          <w:cs/>
        </w:rPr>
      </w:pPr>
    </w:p>
    <w:sectPr w:rsidR="00E61F78" w:rsidRPr="00E61F78" w:rsidSect="00A71E8D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95219"/>
    <w:multiLevelType w:val="hybridMultilevel"/>
    <w:tmpl w:val="81F400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831CC"/>
    <w:multiLevelType w:val="hybridMultilevel"/>
    <w:tmpl w:val="99F0F2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DE547D"/>
    <w:multiLevelType w:val="hybridMultilevel"/>
    <w:tmpl w:val="9DC876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AD6A87"/>
    <w:multiLevelType w:val="hybridMultilevel"/>
    <w:tmpl w:val="5A1097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81754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125149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55685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52694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E8D"/>
    <w:rsid w:val="00350BF5"/>
    <w:rsid w:val="00A71E8D"/>
    <w:rsid w:val="00E6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C3FED"/>
  <w15:chartTrackingRefBased/>
  <w15:docId w15:val="{03A039C5-4EC1-4CF9-A9FD-CB08C4B6E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E8D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1E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1E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1E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1E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1E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1E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1E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1E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1E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71E8D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1E8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1E8D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1E8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1E8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1E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1E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1E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1E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71E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A71E8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1E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A71E8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A71E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71E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71E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71E8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1E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E8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71E8D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A71E8D"/>
    <w:pPr>
      <w:spacing w:after="0" w:line="240" w:lineRule="auto"/>
    </w:pPr>
    <w:rPr>
      <w:kern w:val="0"/>
      <w:sz w:val="22"/>
      <w:szCs w:val="28"/>
      <w14:ligatures w14:val="none"/>
    </w:rPr>
  </w:style>
  <w:style w:type="paragraph" w:styleId="NormalWeb">
    <w:name w:val="Normal (Web)"/>
    <w:basedOn w:val="Normal"/>
    <w:uiPriority w:val="99"/>
    <w:unhideWhenUsed/>
    <w:rsid w:val="00A71E8D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2025-01-16T13:47:00Z</dcterms:created>
  <dcterms:modified xsi:type="dcterms:W3CDTF">2025-01-16T15:31:00Z</dcterms:modified>
</cp:coreProperties>
</file>